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52"/>
        </w:rPr>
        <w:t>EQUATOR RESOLUTION</w:t>
      </w:r>
    </w:p>
    <w:p>
      <w:pPr>
        <w:spacing w:after="40"/>
        <w:jc w:val="center"/>
      </w:pPr>
      <w:r>
        <w:rPr>
          <w:rFonts w:ascii="Calibri" w:hAnsi="Calibri"/>
          <w:b w:val="0"/>
          <w:i/>
          <w:color w:val="1E7A8C"/>
          <w:sz w:val="24"/>
        </w:rPr>
        <w:t>Institutional Arbitration &amp; Mediation</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200"/>
      </w:pPr>
    </w:p>
    <w:p>
      <w:pPr>
        <w:spacing w:after="80"/>
        <w:jc w:val="center"/>
      </w:pPr>
      <w:r>
        <w:rPr>
          <w:rFonts w:ascii="Calibri" w:hAnsi="Calibri"/>
          <w:b/>
          <w:i w:val="0"/>
          <w:color w:val="123B4F"/>
          <w:sz w:val="52"/>
        </w:rPr>
        <w:t>Equator Mediation Rules</w:t>
      </w:r>
    </w:p>
    <w:p>
      <w:pPr>
        <w:jc w:val="center"/>
      </w:pPr>
      <w:r>
        <w:rPr>
          <w:rFonts w:ascii="Calibri" w:hAnsi="Calibri"/>
          <w:b w:val="0"/>
          <w:i w:val="0"/>
          <w:color w:val="1E7A8C"/>
          <w:sz w:val="26"/>
        </w:rPr>
        <w:t>Rules for the conduct of institutional mediation</w:t>
      </w:r>
    </w:p>
    <w:p>
      <w:pPr>
        <w:spacing w:before="200"/>
        <w:jc w:val="center"/>
      </w:pPr>
      <w:r>
        <w:rPr>
          <w:rFonts w:ascii="Calibri" w:hAnsi="Calibri"/>
          <w:b w:val="0"/>
          <w:i w:val="0"/>
          <w:color w:val="556168"/>
          <w:sz w:val="20"/>
        </w:rPr>
        <w:t>In force from [date] · Version 1.0 · July 2026</w:t>
      </w:r>
    </w:p>
    <w:p>
      <w:pPr>
        <w:jc w:val="center"/>
      </w:pPr>
      <w:r>
        <w:rPr>
          <w:rFonts w:ascii="Calibri" w:hAnsi="Calibri"/>
          <w:b w:val="0"/>
          <w:i/>
          <w:color w:val="556168"/>
          <w:sz w:val="19"/>
        </w:rPr>
        <w:t>Under the Mediation Act, 2023 and the Commercial Courts Act, 2015 (s.12A). Law stated as at July 2026.</w:t>
      </w:r>
    </w:p>
    <w:p>
      <w:r>
        <w:br w:type="page"/>
      </w:r>
    </w:p>
    <w:p>
      <w:pPr>
        <w:keepNext/>
        <w:spacing w:before="320" w:after="140"/>
        <w:pBdr>
          <w:bottom w:val="single" w:sz="12" w:space="3" w:color="C6A15B"/>
        </w:pBdr>
      </w:pPr>
      <w:r>
        <w:rPr>
          <w:rFonts w:ascii="Calibri" w:hAnsi="Calibri"/>
          <w:b/>
          <w:i w:val="0"/>
          <w:color w:val="123B4F"/>
          <w:sz w:val="34"/>
        </w:rPr>
        <w:t>1.  Scope</w:t>
      </w:r>
    </w:p>
    <w:p>
      <w:pPr>
        <w:spacing w:after="140"/>
        <w:jc w:val="both"/>
      </w:pPr>
      <w:r>
        <w:rPr>
          <w:rFonts w:ascii="Calibri" w:hAnsi="Calibri"/>
          <w:b w:val="0"/>
          <w:i w:val="0"/>
          <w:color w:val="1B2A32"/>
          <w:sz w:val="21"/>
        </w:rPr>
        <w:t>These Rules govern commercial mediations administered by Equator as a Mediation Service Provider, whether voluntary or as pre-institution mediation under Section 12A of the Commercial Courts Act, 2015.</w:t>
      </w:r>
    </w:p>
    <w:p>
      <w:pPr>
        <w:keepNext/>
        <w:spacing w:before="320" w:after="140"/>
        <w:pBdr>
          <w:bottom w:val="single" w:sz="12" w:space="3" w:color="C6A15B"/>
        </w:pBdr>
      </w:pPr>
      <w:r>
        <w:rPr>
          <w:rFonts w:ascii="Calibri" w:hAnsi="Calibri"/>
          <w:b/>
          <w:i w:val="0"/>
          <w:color w:val="123B4F"/>
          <w:sz w:val="34"/>
        </w:rPr>
        <w:t>2.  Commencement</w:t>
      </w:r>
    </w:p>
    <w:p>
      <w:pPr>
        <w:spacing w:after="140"/>
        <w:jc w:val="both"/>
      </w:pPr>
      <w:r>
        <w:rPr>
          <w:rFonts w:ascii="Calibri" w:hAnsi="Calibri"/>
          <w:b w:val="0"/>
          <w:i w:val="0"/>
          <w:color w:val="1B2A32"/>
          <w:sz w:val="21"/>
        </w:rPr>
        <w:t>A party files a Request for Mediation (Form F-C04) with the Registrar; Equator invites the other party. For Section 12A pre-institution mediation, the applicant initiates before instituting a commercial suit.</w:t>
      </w:r>
    </w:p>
    <w:p>
      <w:pPr>
        <w:keepNext/>
        <w:spacing w:before="320" w:after="140"/>
        <w:pBdr>
          <w:bottom w:val="single" w:sz="12" w:space="3" w:color="C6A15B"/>
        </w:pBdr>
      </w:pPr>
      <w:r>
        <w:rPr>
          <w:rFonts w:ascii="Calibri" w:hAnsi="Calibri"/>
          <w:b/>
          <w:i w:val="0"/>
          <w:color w:val="123B4F"/>
          <w:sz w:val="34"/>
        </w:rPr>
        <w:t>3.  Appointment of the Mediator</w:t>
      </w:r>
    </w:p>
    <w:p>
      <w:pPr>
        <w:spacing w:after="140"/>
        <w:jc w:val="both"/>
      </w:pPr>
      <w:r>
        <w:rPr>
          <w:rFonts w:ascii="Calibri" w:hAnsi="Calibri"/>
          <w:b w:val="0"/>
          <w:i w:val="0"/>
          <w:color w:val="1B2A32"/>
          <w:sz w:val="21"/>
        </w:rPr>
        <w:t>The parties may agree on a mediator from Equator's Panel, or Equator recommends and, failing agreement, appoints a suitable mediator who signs a disclosure of independence.</w:t>
      </w:r>
    </w:p>
    <w:p>
      <w:pPr>
        <w:keepNext/>
        <w:spacing w:before="320" w:after="140"/>
        <w:pBdr>
          <w:bottom w:val="single" w:sz="12" w:space="3" w:color="C6A15B"/>
        </w:pBdr>
      </w:pPr>
      <w:r>
        <w:rPr>
          <w:rFonts w:ascii="Calibri" w:hAnsi="Calibri"/>
          <w:b/>
          <w:i w:val="0"/>
          <w:color w:val="123B4F"/>
          <w:sz w:val="34"/>
        </w:rPr>
        <w:t>4.  Conduct</w:t>
      </w:r>
    </w:p>
    <w:p>
      <w:pPr>
        <w:spacing w:after="140"/>
        <w:jc w:val="both"/>
      </w:pPr>
      <w:r>
        <w:rPr>
          <w:rFonts w:ascii="Calibri" w:hAnsi="Calibri"/>
          <w:b w:val="0"/>
          <w:i w:val="0"/>
          <w:color w:val="1B2A32"/>
          <w:sz w:val="21"/>
        </w:rPr>
        <w:t>The mediator is neutral, facilitates the parties' own settlement, may hold joint and private sessions, and does not decide the dispute or give legal advice. Mediation is voluntary and either party or the mediator may terminate it.</w:t>
      </w:r>
    </w:p>
    <w:p>
      <w:pPr>
        <w:keepNext/>
        <w:spacing w:before="320" w:after="140"/>
        <w:pBdr>
          <w:bottom w:val="single" w:sz="12" w:space="3" w:color="C6A15B"/>
        </w:pBdr>
      </w:pPr>
      <w:r>
        <w:rPr>
          <w:rFonts w:ascii="Calibri" w:hAnsi="Calibri"/>
          <w:b/>
          <w:i w:val="0"/>
          <w:color w:val="123B4F"/>
          <w:sz w:val="34"/>
        </w:rPr>
        <w:t>5.  Time</w:t>
      </w:r>
    </w:p>
    <w:p>
      <w:pPr>
        <w:spacing w:after="140"/>
        <w:jc w:val="both"/>
      </w:pPr>
      <w:r>
        <w:rPr>
          <w:rFonts w:ascii="Calibri" w:hAnsi="Calibri"/>
          <w:b w:val="0"/>
          <w:i w:val="0"/>
          <w:color w:val="1B2A32"/>
          <w:sz w:val="21"/>
        </w:rPr>
        <w:t>The mediation is completed within 120 days (or, for Section 12A, within three months, extendable by two), in accordance with the applicable statute.</w:t>
      </w:r>
    </w:p>
    <w:p>
      <w:pPr>
        <w:keepNext/>
        <w:spacing w:before="320" w:after="140"/>
        <w:pBdr>
          <w:bottom w:val="single" w:sz="12" w:space="3" w:color="C6A15B"/>
        </w:pBdr>
      </w:pPr>
      <w:r>
        <w:rPr>
          <w:rFonts w:ascii="Calibri" w:hAnsi="Calibri"/>
          <w:b/>
          <w:i w:val="0"/>
          <w:color w:val="123B4F"/>
          <w:sz w:val="34"/>
        </w:rPr>
        <w:t>6.  Confidentiality and Privilege</w:t>
      </w:r>
    </w:p>
    <w:p>
      <w:pPr>
        <w:spacing w:after="140"/>
        <w:jc w:val="both"/>
      </w:pPr>
      <w:r>
        <w:rPr>
          <w:rFonts w:ascii="Calibri" w:hAnsi="Calibri"/>
          <w:b w:val="0"/>
          <w:i w:val="0"/>
          <w:color w:val="1B2A32"/>
          <w:sz w:val="21"/>
        </w:rPr>
        <w:t>All communications are confidential and without prejudice and are not admissible in any court or arbitration, save for the safety and legal exceptions in the Mediation Act, 2023.</w:t>
      </w:r>
    </w:p>
    <w:p>
      <w:pPr>
        <w:keepNext/>
        <w:spacing w:before="320" w:after="140"/>
        <w:pBdr>
          <w:bottom w:val="single" w:sz="12" w:space="3" w:color="C6A15B"/>
        </w:pBdr>
      </w:pPr>
      <w:r>
        <w:rPr>
          <w:rFonts w:ascii="Calibri" w:hAnsi="Calibri"/>
          <w:b/>
          <w:i w:val="0"/>
          <w:color w:val="123B4F"/>
          <w:sz w:val="34"/>
        </w:rPr>
        <w:t>7.  Settlement Agreement</w:t>
      </w:r>
    </w:p>
    <w:p>
      <w:pPr>
        <w:spacing w:after="140"/>
        <w:jc w:val="both"/>
      </w:pPr>
      <w:r>
        <w:rPr>
          <w:rFonts w:ascii="Calibri" w:hAnsi="Calibri"/>
          <w:b w:val="0"/>
          <w:i w:val="0"/>
          <w:color w:val="1B2A32"/>
          <w:sz w:val="21"/>
        </w:rPr>
        <w:t>A settlement is recorded in a Mediated Settlement Agreement signed by the parties and authenticated by the mediator (Section 19), and registered (Section 20); it is enforceable as a decree (Section 27).</w:t>
      </w:r>
    </w:p>
    <w:p>
      <w:pPr>
        <w:keepNext/>
        <w:spacing w:before="320" w:after="140"/>
        <w:pBdr>
          <w:bottom w:val="single" w:sz="12" w:space="3" w:color="C6A15B"/>
        </w:pBdr>
      </w:pPr>
      <w:r>
        <w:rPr>
          <w:rFonts w:ascii="Calibri" w:hAnsi="Calibri"/>
          <w:b/>
          <w:i w:val="0"/>
          <w:color w:val="123B4F"/>
          <w:sz w:val="34"/>
        </w:rPr>
        <w:t>8.  Termination and Reporting</w:t>
      </w:r>
    </w:p>
    <w:p>
      <w:pPr>
        <w:spacing w:after="140"/>
        <w:jc w:val="both"/>
      </w:pPr>
      <w:r>
        <w:rPr>
          <w:rFonts w:ascii="Calibri" w:hAnsi="Calibri"/>
          <w:b w:val="0"/>
          <w:i w:val="0"/>
          <w:color w:val="1B2A32"/>
          <w:sz w:val="21"/>
        </w:rPr>
        <w:t>Where the mediation does not settle, the mediator issues a non-settlement report or, for Section 12A, a certificate of the completed attempt, disclosing no confidential communication.</w:t>
      </w:r>
    </w:p>
    <w:p>
      <w:pPr>
        <w:keepNext/>
        <w:spacing w:before="320" w:after="140"/>
        <w:pBdr>
          <w:bottom w:val="single" w:sz="12" w:space="3" w:color="C6A15B"/>
        </w:pBdr>
      </w:pPr>
      <w:r>
        <w:rPr>
          <w:rFonts w:ascii="Calibri" w:hAnsi="Calibri"/>
          <w:b/>
          <w:i w:val="0"/>
          <w:color w:val="123B4F"/>
          <w:sz w:val="34"/>
        </w:rPr>
        <w:t>9.  Fees and Liability</w:t>
      </w:r>
    </w:p>
    <w:p>
      <w:pPr>
        <w:spacing w:after="140"/>
        <w:jc w:val="both"/>
      </w:pPr>
      <w:r>
        <w:rPr>
          <w:rFonts w:ascii="Calibri" w:hAnsi="Calibri"/>
          <w:b w:val="0"/>
          <w:i w:val="0"/>
          <w:color w:val="1B2A32"/>
          <w:sz w:val="21"/>
        </w:rPr>
        <w:t>Equator's and the mediator's fees are charged per the Schedule of Fees. Neither Equator nor the mediator is liable for any act or omission save as the law does not permit to be excluded.</w:t>
      </w:r>
    </w:p>
    <w:sectPr w:rsidR="00FC693F" w:rsidRPr="0006063C" w:rsidSect="00034616">
      <w:headerReference w:type="default" r:id="rId9"/>
      <w:footerReference w:type="default" r:id="rId1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Equator Mediation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815135-593C-4B60-AFCE-43E1BEDB8EE8}"/>
</file>

<file path=customXml/itemProps3.xml><?xml version="1.0" encoding="utf-8"?>
<ds:datastoreItem xmlns:ds="http://schemas.openxmlformats.org/officeDocument/2006/customXml" ds:itemID="{4B4A7D4F-7E72-4B9C-8289-7801CAB819FB}"/>
</file>

<file path=customXml/itemProps4.xml><?xml version="1.0" encoding="utf-8"?>
<ds:datastoreItem xmlns:ds="http://schemas.openxmlformats.org/officeDocument/2006/customXml" ds:itemID="{B9EB0724-ABC5-4C1C-A2F6-B07E760B407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