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23B4F"/>
          <w:sz w:val="28"/>
        </w:rPr>
        <w:t>EQUATOR RESOLUTION</w:t>
      </w:r>
    </w:p>
    <w:p>
      <w:pPr>
        <w:spacing w:after="40"/>
        <w:jc w:val="center"/>
        <w:pBdr>
          <w:bottom w:val="single" w:sz="14" w:space="3" w:color="C6A15B"/>
        </w:pBdr>
      </w:pPr>
      <w:r>
        <w:rPr>
          <w:rFonts w:ascii="Calibri" w:hAnsi="Calibri"/>
          <w:b w:val="0"/>
          <w:i/>
          <w:color w:val="1E7A8C"/>
          <w:sz w:val="19"/>
        </w:rPr>
        <w:t>Commercial &amp; Business Dispute Resolution</w:t>
      </w:r>
    </w:p>
    <w:p>
      <w:pPr>
        <w:spacing w:before="160"/>
        <w:jc w:val="center"/>
      </w:pPr>
      <w:r>
        <w:rPr>
          <w:rFonts w:ascii="Calibri" w:hAnsi="Calibri"/>
          <w:b/>
          <w:i w:val="0"/>
          <w:color w:val="123B4F"/>
          <w:sz w:val="42"/>
        </w:rPr>
        <w:t>Sector Dispute Playbooks</w:t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56168"/>
          <w:sz w:val="23"/>
        </w:rPr>
        <w:t>How Equator handles the disputes that define each sector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These playbooks give case managers and neutrals a sector-aware starting point: the disputes that recur, the governing law and forum interfaces, the evidence that matters, the pitfalls, and the Equator approach. They supplement the Master Blueprint and the Rules.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1.  Construction &amp; Infrastructure</w:t>
      </w:r>
    </w:p>
    <w:p>
      <w:pPr>
        <w:keepNext/>
        <w:spacing w:before="220" w:after="80"/>
      </w:pPr>
      <w:r>
        <w:rPr>
          <w:rFonts w:ascii="Calibri" w:hAnsi="Calibri"/>
          <w:b/>
          <w:i w:val="0"/>
          <w:color w:val="1E7A8C"/>
          <w:sz w:val="26"/>
        </w:rPr>
        <w:t>1.1   Typical disputes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Delay and extension-of-time claims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Variations and change orders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Defective work and defects liability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Certification and payment (interim/final)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Termination and prolongation/quantum claims</w:t>
      </w:r>
    </w:p>
    <w:p>
      <w:pPr>
        <w:spacing w:after="40"/>
      </w:pPr>
    </w:p>
    <w:p>
      <w:pPr>
        <w:keepNext/>
        <w:spacing w:before="220" w:after="80"/>
      </w:pPr>
      <w:r>
        <w:rPr>
          <w:rFonts w:ascii="Calibri" w:hAnsi="Calibri"/>
          <w:b/>
          <w:i w:val="0"/>
          <w:color w:val="1E7A8C"/>
          <w:sz w:val="26"/>
        </w:rPr>
        <w:t>1.2   Governing law &amp; interfaces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Governed by the construction contract (often FIDIC or CPWD/NHAI forms), the Indian Contract Act and the Arbitration Act. Interfaces: RERA (for real-estate development) and, for public works, the government's arbitration and vigilance frameworks.</w:t>
      </w:r>
    </w:p>
    <w:p>
      <w:pPr>
        <w:keepNext/>
        <w:spacing w:before="220" w:after="80"/>
      </w:pPr>
      <w:r>
        <w:rPr>
          <w:rFonts w:ascii="Calibri" w:hAnsi="Calibri"/>
          <w:b/>
          <w:i w:val="0"/>
          <w:color w:val="1E7A8C"/>
          <w:sz w:val="26"/>
        </w:rPr>
        <w:t>1.3   Mechanism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Arbitration is the norm; consider a standing </w:t>
      </w:r>
      <w:r>
        <w:rPr>
          <w:rFonts w:ascii="Calibri" w:hAnsi="Calibri"/>
          <w:b/>
          <w:i w:val="0"/>
          <w:color w:val="1B2A32"/>
          <w:sz w:val="21"/>
        </w:rPr>
        <w:t>Dispute Adjudication/Review Board</w:t>
      </w:r>
      <w:r>
        <w:rPr>
          <w:rFonts w:ascii="Calibri" w:hAnsi="Calibri"/>
          <w:b w:val="0"/>
          <w:i w:val="0"/>
          <w:color w:val="1B2A32"/>
          <w:sz w:val="21"/>
        </w:rPr>
        <w:t xml:space="preserve"> on long projects for real-time decisions, and expedited procedure for discrete payment claims.</w:t>
      </w:r>
    </w:p>
    <w:p>
      <w:pPr>
        <w:keepNext/>
        <w:spacing w:before="220" w:after="80"/>
      </w:pPr>
      <w:r>
        <w:rPr>
          <w:rFonts w:ascii="Calibri" w:hAnsi="Calibri"/>
          <w:b/>
          <w:i w:val="0"/>
          <w:color w:val="1E7A8C"/>
          <w:sz w:val="26"/>
        </w:rPr>
        <w:t>1.4   Evidence that matters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The contract, drawings, BOQ and specifications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The programme and as-built records; delay analysis (as-planned vs as-built)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Site records, minutes, RFIs, variation orders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Engineer's/architect's certificates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Quantum/expert reports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23A48"/>
          <w:left w:val="single" w:sz="4" w:space="0" w:color="B23A48"/>
          <w:bottom w:val="single" w:sz="4" w:space="0" w:color="B23A48"/>
          <w:right w:val="single" w:sz="4" w:space="0" w:color="B23A48"/>
          <w:insideH w:val="single" w:sz="4" w:space="0" w:color="B23A48"/>
          <w:insideV w:val="single" w:sz="4" w:space="0" w:color="B23A48"/>
        </w:tblBorders>
      </w:tblPr>
      <w:tblGrid>
        <w:gridCol w:w="9504"/>
      </w:tblGrid>
      <w:tr>
        <w:tc>
          <w:tcPr>
            <w:tcW w:type="dxa" w:w="9504"/>
            <w:shd w:val="clear" w:color="auto" w:fill="F6E0E4"/>
            <w:tcMar>
              <w:top w:w="90" w:type="dxa"/>
              <w:bottom w:w="90" w:type="dxa"/>
              <w:start w:w="140" w:type="dxa"/>
              <w:end w:w="140" w:type="dxa"/>
            </w:tcMar>
            <w:tcBorders>
              <w:start w:val="single" w:sz="26" w:space="0" w:color="B23A4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23A48"/>
                <w:sz w:val="19"/>
              </w:rPr>
              <w:t>RISK / CAUTION</w:t>
            </w:r>
          </w:p>
          <w:p>
            <w:pPr>
              <w:jc w:val="both"/>
            </w:pPr>
            <w:r>
              <w:rPr>
                <w:rFonts w:ascii="Calibri" w:hAnsi="Calibri"/>
                <w:b w:val="0"/>
                <w:i w:val="0"/>
                <w:color w:val="1B2A32"/>
                <w:sz w:val="20"/>
              </w:rPr>
              <w:t>Construction disputes turn on records and delay methodology; missing contemporaneous records and unproven causation are the commonest reasons claims fail.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2E7D5B"/>
          <w:left w:val="single" w:sz="4" w:space="0" w:color="2E7D5B"/>
          <w:bottom w:val="single" w:sz="4" w:space="0" w:color="2E7D5B"/>
          <w:right w:val="single" w:sz="4" w:space="0" w:color="2E7D5B"/>
          <w:insideH w:val="single" w:sz="4" w:space="0" w:color="2E7D5B"/>
          <w:insideV w:val="single" w:sz="4" w:space="0" w:color="2E7D5B"/>
        </w:tblBorders>
      </w:tblPr>
      <w:tblGrid>
        <w:gridCol w:w="9504"/>
      </w:tblGrid>
      <w:tr>
        <w:tc>
          <w:tcPr>
            <w:tcW w:type="dxa" w:w="9504"/>
            <w:shd w:val="clear" w:color="auto" w:fill="DCEEE4"/>
            <w:tcMar>
              <w:top w:w="90" w:type="dxa"/>
              <w:bottom w:w="90" w:type="dxa"/>
              <w:start w:w="140" w:type="dxa"/>
              <w:end w:w="140" w:type="dxa"/>
            </w:tcMar>
            <w:tcBorders>
              <w:start w:val="single" w:sz="26" w:space="0" w:color="2E7D5B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7D5B"/>
                <w:sz w:val="19"/>
              </w:rPr>
              <w:t>COMPLIANCE NOTE</w:t>
            </w:r>
          </w:p>
          <w:p>
            <w:pPr>
              <w:jc w:val="both"/>
            </w:pPr>
            <w:r>
              <w:rPr>
                <w:rFonts w:ascii="Calibri" w:hAnsi="Calibri"/>
                <w:b w:val="0"/>
                <w:i w:val="0"/>
                <w:color w:val="1B2A32"/>
                <w:sz w:val="20"/>
              </w:rPr>
              <w:t>Equator empanels construction-experienced arbitrators and quantum/delay experts, offers dispute boards, and sequences interim relief (e.g., to restrain a bond call) via s.9/s.17.</w:t>
            </w:r>
          </w:p>
        </w:tc>
      </w:tr>
    </w:tbl>
    <w:p>
      <w:pPr>
        <w:spacing w:after="120"/>
      </w:pP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2.  Shareholder, JV &amp; Partnership</w:t>
      </w:r>
    </w:p>
    <w:p>
      <w:pPr>
        <w:keepNext/>
        <w:spacing w:before="220" w:after="80"/>
      </w:pPr>
      <w:r>
        <w:rPr>
          <w:rFonts w:ascii="Calibri" w:hAnsi="Calibri"/>
          <w:b/>
          <w:i w:val="0"/>
          <w:color w:val="1E7A8C"/>
          <w:sz w:val="26"/>
        </w:rPr>
        <w:t>2.1   Typical disputes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Breach of the shareholders'/JV agreement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Transfer, pre-emption (ROFR/ROFO) and tag/drag disputes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Board deadlock and reserved-matter breaches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Exit, buy-out and valuation disputes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Founder separation and partnership dissolution</w:t>
      </w:r>
    </w:p>
    <w:p>
      <w:pPr>
        <w:spacing w:after="40"/>
      </w:pPr>
    </w:p>
    <w:p>
      <w:pPr>
        <w:keepNext/>
        <w:spacing w:before="220" w:after="80"/>
      </w:pPr>
      <w:r>
        <w:rPr>
          <w:rFonts w:ascii="Calibri" w:hAnsi="Calibri"/>
          <w:b/>
          <w:i w:val="0"/>
          <w:color w:val="1E7A8C"/>
          <w:sz w:val="26"/>
        </w:rPr>
        <w:t>2.2   Governing law &amp; interfaces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Governed by the SHA/JV/partnership agreement, the Companies Act and Partnership Act. </w:t>
      </w:r>
      <w:r>
        <w:rPr>
          <w:rFonts w:ascii="Calibri" w:hAnsi="Calibri"/>
          <w:b/>
          <w:i w:val="0"/>
          <w:color w:val="1B2A32"/>
          <w:sz w:val="21"/>
        </w:rPr>
        <w:t>Interface:</w:t>
      </w:r>
      <w:r>
        <w:rPr>
          <w:rFonts w:ascii="Calibri" w:hAnsi="Calibri"/>
          <w:b w:val="0"/>
          <w:i w:val="0"/>
          <w:color w:val="1B2A32"/>
          <w:sz w:val="21"/>
        </w:rPr>
        <w:t xml:space="preserve"> oppression &amp; mismanagement (ss.241-242) is for the NCLT and is generally non-arbitrable; the contractual layer is arbitrable (the two often overlap — assess carefully post Vidya Drolia).</w:t>
      </w:r>
    </w:p>
    <w:p>
      <w:pPr>
        <w:keepNext/>
        <w:spacing w:before="220" w:after="80"/>
      </w:pPr>
      <w:r>
        <w:rPr>
          <w:rFonts w:ascii="Calibri" w:hAnsi="Calibri"/>
          <w:b/>
          <w:i w:val="0"/>
          <w:color w:val="1E7A8C"/>
          <w:sz w:val="26"/>
        </w:rPr>
        <w:t>2.3   Mechanism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Arbitration for the contractual claims; mediation to preserve the relationship or engineer a clean exit; a consent award to record a negotiated buy-out.</w:t>
      </w:r>
    </w:p>
    <w:p>
      <w:pPr>
        <w:keepNext/>
        <w:spacing w:before="220" w:after="80"/>
      </w:pPr>
      <w:r>
        <w:rPr>
          <w:rFonts w:ascii="Calibri" w:hAnsi="Calibri"/>
          <w:b/>
          <w:i w:val="0"/>
          <w:color w:val="1E7A8C"/>
          <w:sz w:val="26"/>
        </w:rPr>
        <w:t>2.4   Evidence that matters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The SHA/JV/partnership deed and cap table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Board and shareholder minutes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Valuation reports and the agreed valuation mechanism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Correspondence evidencing breach or exclusion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23A48"/>
          <w:left w:val="single" w:sz="4" w:space="0" w:color="B23A48"/>
          <w:bottom w:val="single" w:sz="4" w:space="0" w:color="B23A48"/>
          <w:right w:val="single" w:sz="4" w:space="0" w:color="B23A48"/>
          <w:insideH w:val="single" w:sz="4" w:space="0" w:color="B23A48"/>
          <w:insideV w:val="single" w:sz="4" w:space="0" w:color="B23A48"/>
        </w:tblBorders>
      </w:tblPr>
      <w:tblGrid>
        <w:gridCol w:w="9504"/>
      </w:tblGrid>
      <w:tr>
        <w:tc>
          <w:tcPr>
            <w:tcW w:type="dxa" w:w="9504"/>
            <w:shd w:val="clear" w:color="auto" w:fill="F6E0E4"/>
            <w:tcMar>
              <w:top w:w="90" w:type="dxa"/>
              <w:bottom w:w="90" w:type="dxa"/>
              <w:start w:w="140" w:type="dxa"/>
              <w:end w:w="140" w:type="dxa"/>
            </w:tcMar>
            <w:tcBorders>
              <w:start w:val="single" w:sz="26" w:space="0" w:color="B23A4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23A48"/>
                <w:sz w:val="19"/>
              </w:rPr>
              <w:t>RISK / CAUTION</w:t>
            </w:r>
          </w:p>
          <w:p>
            <w:pPr>
              <w:jc w:val="both"/>
            </w:pPr>
            <w:r>
              <w:rPr>
                <w:rFonts w:ascii="Calibri" w:hAnsi="Calibri"/>
                <w:b w:val="0"/>
                <w:i w:val="0"/>
                <w:color w:val="1B2A32"/>
                <w:sz w:val="20"/>
              </w:rPr>
              <w:t>Do not let a genuinely contractual dispute be dressed up as oppression to reach the NCLT, or vice versa; the arbitrability line is litigated hard.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2E7D5B"/>
          <w:left w:val="single" w:sz="4" w:space="0" w:color="2E7D5B"/>
          <w:bottom w:val="single" w:sz="4" w:space="0" w:color="2E7D5B"/>
          <w:right w:val="single" w:sz="4" w:space="0" w:color="2E7D5B"/>
          <w:insideH w:val="single" w:sz="4" w:space="0" w:color="2E7D5B"/>
          <w:insideV w:val="single" w:sz="4" w:space="0" w:color="2E7D5B"/>
        </w:tblBorders>
      </w:tblPr>
      <w:tblGrid>
        <w:gridCol w:w="9504"/>
      </w:tblGrid>
      <w:tr>
        <w:tc>
          <w:tcPr>
            <w:tcW w:type="dxa" w:w="9504"/>
            <w:shd w:val="clear" w:color="auto" w:fill="DCEEE4"/>
            <w:tcMar>
              <w:top w:w="90" w:type="dxa"/>
              <w:bottom w:w="90" w:type="dxa"/>
              <w:start w:w="140" w:type="dxa"/>
              <w:end w:w="140" w:type="dxa"/>
            </w:tcMar>
            <w:tcBorders>
              <w:start w:val="single" w:sz="26" w:space="0" w:color="2E7D5B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7D5B"/>
                <w:sz w:val="19"/>
              </w:rPr>
              <w:t>COMPLIANCE NOTE</w:t>
            </w:r>
          </w:p>
          <w:p>
            <w:pPr>
              <w:jc w:val="both"/>
            </w:pPr>
            <w:r>
              <w:rPr>
                <w:rFonts w:ascii="Calibri" w:hAnsi="Calibri"/>
                <w:b w:val="0"/>
                <w:i w:val="0"/>
                <w:color w:val="1B2A32"/>
                <w:sz w:val="20"/>
              </w:rPr>
              <w:t>Equator triages the arbitrable contractual claims to arbitration, mediates the commercial reality behind an oppression petition, and uses expert determination for the valuation.</w:t>
            </w:r>
          </w:p>
        </w:tc>
      </w:tr>
    </w:tbl>
    <w:p>
      <w:pPr>
        <w:spacing w:after="120"/>
      </w:pP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3.  Technology, IT &amp; SaaS</w:t>
      </w:r>
    </w:p>
    <w:p>
      <w:pPr>
        <w:keepNext/>
        <w:spacing w:before="220" w:after="80"/>
      </w:pPr>
      <w:r>
        <w:rPr>
          <w:rFonts w:ascii="Calibri" w:hAnsi="Calibri"/>
          <w:b/>
          <w:i w:val="0"/>
          <w:color w:val="1E7A8C"/>
          <w:sz w:val="26"/>
        </w:rPr>
        <w:t>3.1   Typical disputes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SLA breaches and service credits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Licensing, subscription and usage disputes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Implementation failure and acceptance disputes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Data, security and confidentiality breaches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IP use/infringement (as distinct from IP grant)</w:t>
      </w:r>
    </w:p>
    <w:p>
      <w:pPr>
        <w:spacing w:after="40"/>
      </w:pPr>
    </w:p>
    <w:p>
      <w:pPr>
        <w:keepNext/>
        <w:spacing w:before="220" w:after="80"/>
      </w:pPr>
      <w:r>
        <w:rPr>
          <w:rFonts w:ascii="Calibri" w:hAnsi="Calibri"/>
          <w:b/>
          <w:i w:val="0"/>
          <w:color w:val="1E7A8C"/>
          <w:sz w:val="26"/>
        </w:rPr>
        <w:t>3.2   Governing law &amp; interfaces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Governed by the MSA/licence/SLA, the Contract Act, the IT Act and the DPDP Act. </w:t>
      </w:r>
      <w:r>
        <w:rPr>
          <w:rFonts w:ascii="Calibri" w:hAnsi="Calibri"/>
          <w:b/>
          <w:i w:val="0"/>
          <w:color w:val="1B2A32"/>
          <w:sz w:val="21"/>
        </w:rPr>
        <w:t>Interface:</w:t>
      </w:r>
      <w:r>
        <w:rPr>
          <w:rFonts w:ascii="Calibri" w:hAnsi="Calibri"/>
          <w:b w:val="0"/>
          <w:i w:val="0"/>
          <w:color w:val="1B2A32"/>
          <w:sz w:val="21"/>
        </w:rPr>
        <w:t xml:space="preserve"> IP *grant* (patent/trademark registration) is non-arbitrable; contractual IP *use* is arbitrable.</w:t>
      </w:r>
    </w:p>
    <w:p>
      <w:pPr>
        <w:keepNext/>
        <w:spacing w:before="220" w:after="80"/>
      </w:pPr>
      <w:r>
        <w:rPr>
          <w:rFonts w:ascii="Calibri" w:hAnsi="Calibri"/>
          <w:b/>
          <w:i w:val="0"/>
          <w:color w:val="1E7A8C"/>
          <w:sz w:val="26"/>
        </w:rPr>
        <w:t>3.3   Mechanism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Arbitration (often expedited/documents-only for SLA and payment disputes); mediation where the commercial relationship continues.</w:t>
      </w:r>
    </w:p>
    <w:p>
      <w:pPr>
        <w:keepNext/>
        <w:spacing w:before="220" w:after="80"/>
      </w:pPr>
      <w:r>
        <w:rPr>
          <w:rFonts w:ascii="Calibri" w:hAnsi="Calibri"/>
          <w:b/>
          <w:i w:val="0"/>
          <w:color w:val="1E7A8C"/>
          <w:sz w:val="26"/>
        </w:rPr>
        <w:t>3.4   Evidence that matters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The MSA/licence/SLA and order forms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System logs, uptime/SLA metrics, tickets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Acceptance criteria and test results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Data-processing terms and breach records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23A48"/>
          <w:left w:val="single" w:sz="4" w:space="0" w:color="B23A48"/>
          <w:bottom w:val="single" w:sz="4" w:space="0" w:color="B23A48"/>
          <w:right w:val="single" w:sz="4" w:space="0" w:color="B23A48"/>
          <w:insideH w:val="single" w:sz="4" w:space="0" w:color="B23A48"/>
          <w:insideV w:val="single" w:sz="4" w:space="0" w:color="B23A48"/>
        </w:tblBorders>
      </w:tblPr>
      <w:tblGrid>
        <w:gridCol w:w="9504"/>
      </w:tblGrid>
      <w:tr>
        <w:tc>
          <w:tcPr>
            <w:tcW w:type="dxa" w:w="9504"/>
            <w:shd w:val="clear" w:color="auto" w:fill="F6E0E4"/>
            <w:tcMar>
              <w:top w:w="90" w:type="dxa"/>
              <w:bottom w:w="90" w:type="dxa"/>
              <w:start w:w="140" w:type="dxa"/>
              <w:end w:w="140" w:type="dxa"/>
            </w:tcMar>
            <w:tcBorders>
              <w:start w:val="single" w:sz="26" w:space="0" w:color="B23A4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23A48"/>
                <w:sz w:val="19"/>
              </w:rPr>
              <w:t>RISK / CAUTION</w:t>
            </w:r>
          </w:p>
          <w:p>
            <w:pPr>
              <w:jc w:val="both"/>
            </w:pPr>
            <w:r>
              <w:rPr>
                <w:rFonts w:ascii="Calibri" w:hAnsi="Calibri"/>
                <w:b w:val="0"/>
                <w:i w:val="0"/>
                <w:color w:val="1B2A32"/>
                <w:sz w:val="20"/>
              </w:rPr>
              <w:t>SLA disputes are won or lost on metrics and logs; ensure the confidentiality ring protects source code and trade secrets.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2E7D5B"/>
          <w:left w:val="single" w:sz="4" w:space="0" w:color="2E7D5B"/>
          <w:bottom w:val="single" w:sz="4" w:space="0" w:color="2E7D5B"/>
          <w:right w:val="single" w:sz="4" w:space="0" w:color="2E7D5B"/>
          <w:insideH w:val="single" w:sz="4" w:space="0" w:color="2E7D5B"/>
          <w:insideV w:val="single" w:sz="4" w:space="0" w:color="2E7D5B"/>
        </w:tblBorders>
      </w:tblPr>
      <w:tblGrid>
        <w:gridCol w:w="9504"/>
      </w:tblGrid>
      <w:tr>
        <w:tc>
          <w:tcPr>
            <w:tcW w:type="dxa" w:w="9504"/>
            <w:shd w:val="clear" w:color="auto" w:fill="DCEEE4"/>
            <w:tcMar>
              <w:top w:w="90" w:type="dxa"/>
              <w:bottom w:w="90" w:type="dxa"/>
              <w:start w:w="140" w:type="dxa"/>
              <w:end w:w="140" w:type="dxa"/>
            </w:tcMar>
            <w:tcBorders>
              <w:start w:val="single" w:sz="26" w:space="0" w:color="2E7D5B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7D5B"/>
                <w:sz w:val="19"/>
              </w:rPr>
              <w:t>COMPLIANCE NOTE</w:t>
            </w:r>
          </w:p>
          <w:p>
            <w:pPr>
              <w:jc w:val="both"/>
            </w:pPr>
            <w:r>
              <w:rPr>
                <w:rFonts w:ascii="Calibri" w:hAnsi="Calibri"/>
                <w:b w:val="0"/>
                <w:i w:val="0"/>
                <w:color w:val="1B2A32"/>
                <w:sz w:val="20"/>
              </w:rPr>
              <w:t>Equator offers a fast, documents-only track for SLA/payment disputes, a confidentiality ring for code and data, and technically literate neutrals.</w:t>
            </w:r>
          </w:p>
        </w:tc>
      </w:tr>
    </w:tbl>
    <w:p>
      <w:pPr>
        <w:spacing w:after="120"/>
      </w:pP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4.  Banking, Finance &amp; Guarantee</w:t>
      </w:r>
    </w:p>
    <w:p>
      <w:pPr>
        <w:keepNext/>
        <w:spacing w:before="220" w:after="80"/>
      </w:pPr>
      <w:r>
        <w:rPr>
          <w:rFonts w:ascii="Calibri" w:hAnsi="Calibri"/>
          <w:b/>
          <w:i w:val="0"/>
          <w:color w:val="1E7A8C"/>
          <w:sz w:val="26"/>
        </w:rPr>
        <w:t>4.1   Typical disputes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Facility and loan disputes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Guarantee and letter-of-credit disputes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Recovery and default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Derivatives/ISDA and trade-finance disputes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Co-lending and fintech partnership disputes</w:t>
      </w:r>
    </w:p>
    <w:p>
      <w:pPr>
        <w:spacing w:after="40"/>
      </w:pPr>
    </w:p>
    <w:p>
      <w:pPr>
        <w:keepNext/>
        <w:spacing w:before="220" w:after="80"/>
      </w:pPr>
      <w:r>
        <w:rPr>
          <w:rFonts w:ascii="Calibri" w:hAnsi="Calibri"/>
          <w:b/>
          <w:i w:val="0"/>
          <w:color w:val="1E7A8C"/>
          <w:sz w:val="26"/>
        </w:rPr>
        <w:t>4.2   Governing law &amp; interfaces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Governed by the facility documents, the Contract Act and the negotiable-instruments/BG framework. </w:t>
      </w:r>
      <w:r>
        <w:rPr>
          <w:rFonts w:ascii="Calibri" w:hAnsi="Calibri"/>
          <w:b/>
          <w:i w:val="0"/>
          <w:color w:val="1B2A32"/>
          <w:sz w:val="21"/>
        </w:rPr>
        <w:t>Interface:</w:t>
      </w:r>
      <w:r>
        <w:rPr>
          <w:rFonts w:ascii="Calibri" w:hAnsi="Calibri"/>
          <w:b w:val="0"/>
          <w:i w:val="0"/>
          <w:color w:val="1B2A32"/>
          <w:sz w:val="21"/>
        </w:rPr>
        <w:t xml:space="preserve"> bank recovery may lie with the </w:t>
      </w:r>
      <w:r>
        <w:rPr>
          <w:rFonts w:ascii="Calibri" w:hAnsi="Calibri"/>
          <w:b/>
          <w:i w:val="0"/>
          <w:color w:val="1B2A32"/>
          <w:sz w:val="21"/>
        </w:rPr>
        <w:t>DRT</w:t>
      </w:r>
      <w:r>
        <w:rPr>
          <w:rFonts w:ascii="Calibri" w:hAnsi="Calibri"/>
          <w:b w:val="0"/>
          <w:i w:val="0"/>
          <w:color w:val="1B2A32"/>
          <w:sz w:val="21"/>
        </w:rPr>
        <w:t xml:space="preserve"> (RDDBFI Act) and </w:t>
      </w:r>
      <w:r>
        <w:rPr>
          <w:rFonts w:ascii="Calibri" w:hAnsi="Calibri"/>
          <w:b/>
          <w:i w:val="0"/>
          <w:color w:val="1B2A32"/>
          <w:sz w:val="21"/>
        </w:rPr>
        <w:t>SARFAESI</w:t>
      </w:r>
      <w:r>
        <w:rPr>
          <w:rFonts w:ascii="Calibri" w:hAnsi="Calibri"/>
          <w:b w:val="0"/>
          <w:i w:val="0"/>
          <w:color w:val="1B2A32"/>
          <w:sz w:val="21"/>
        </w:rPr>
        <w:t>; assess whether the dispute is arbitrable or reserved to the DRT.</w:t>
      </w:r>
    </w:p>
    <w:p>
      <w:pPr>
        <w:keepNext/>
        <w:spacing w:before="220" w:after="80"/>
      </w:pPr>
      <w:r>
        <w:rPr>
          <w:rFonts w:ascii="Calibri" w:hAnsi="Calibri"/>
          <w:b/>
          <w:i w:val="0"/>
          <w:color w:val="1E7A8C"/>
          <w:sz w:val="26"/>
        </w:rPr>
        <w:t>4.3   Mechanism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Arbitration for commercial lending and partnership disputes; note the DRT/SARFAESI carve-out for secured-debt recovery by banks/FIs.</w:t>
      </w:r>
    </w:p>
    <w:p>
      <w:pPr>
        <w:keepNext/>
        <w:spacing w:before="220" w:after="80"/>
      </w:pPr>
      <w:r>
        <w:rPr>
          <w:rFonts w:ascii="Calibri" w:hAnsi="Calibri"/>
          <w:b/>
          <w:i w:val="0"/>
          <w:color w:val="1E7A8C"/>
          <w:sz w:val="26"/>
        </w:rPr>
        <w:t>4.4   Evidence that matters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Facility agreement, security documents, guarantees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Statements of account and default notices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LC/BG documents and demands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Board/credit approvals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23A48"/>
          <w:left w:val="single" w:sz="4" w:space="0" w:color="B23A48"/>
          <w:bottom w:val="single" w:sz="4" w:space="0" w:color="B23A48"/>
          <w:right w:val="single" w:sz="4" w:space="0" w:color="B23A48"/>
          <w:insideH w:val="single" w:sz="4" w:space="0" w:color="B23A48"/>
          <w:insideV w:val="single" w:sz="4" w:space="0" w:color="B23A48"/>
        </w:tblBorders>
      </w:tblPr>
      <w:tblGrid>
        <w:gridCol w:w="9504"/>
      </w:tblGrid>
      <w:tr>
        <w:tc>
          <w:tcPr>
            <w:tcW w:type="dxa" w:w="9504"/>
            <w:shd w:val="clear" w:color="auto" w:fill="F6E0E4"/>
            <w:tcMar>
              <w:top w:w="90" w:type="dxa"/>
              <w:bottom w:w="90" w:type="dxa"/>
              <w:start w:w="140" w:type="dxa"/>
              <w:end w:w="140" w:type="dxa"/>
            </w:tcMar>
            <w:tcBorders>
              <w:start w:val="single" w:sz="26" w:space="0" w:color="B23A4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23A48"/>
                <w:sz w:val="19"/>
              </w:rPr>
              <w:t>RISK / CAUTION</w:t>
            </w:r>
          </w:p>
          <w:p>
            <w:pPr>
              <w:jc w:val="both"/>
            </w:pPr>
            <w:r>
              <w:rPr>
                <w:rFonts w:ascii="Calibri" w:hAnsi="Calibri"/>
                <w:b w:val="0"/>
                <w:i w:val="0"/>
                <w:color w:val="1B2A32"/>
                <w:sz w:val="20"/>
              </w:rPr>
              <w:t>Do not arbitrate a matter reserved to the DRT/SARFAESI; a wrong forum wastes time and risks the limitation.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2E7D5B"/>
          <w:left w:val="single" w:sz="4" w:space="0" w:color="2E7D5B"/>
          <w:bottom w:val="single" w:sz="4" w:space="0" w:color="2E7D5B"/>
          <w:right w:val="single" w:sz="4" w:space="0" w:color="2E7D5B"/>
          <w:insideH w:val="single" w:sz="4" w:space="0" w:color="2E7D5B"/>
          <w:insideV w:val="single" w:sz="4" w:space="0" w:color="2E7D5B"/>
        </w:tblBorders>
      </w:tblPr>
      <w:tblGrid>
        <w:gridCol w:w="9504"/>
      </w:tblGrid>
      <w:tr>
        <w:tc>
          <w:tcPr>
            <w:tcW w:type="dxa" w:w="9504"/>
            <w:shd w:val="clear" w:color="auto" w:fill="DCEEE4"/>
            <w:tcMar>
              <w:top w:w="90" w:type="dxa"/>
              <w:bottom w:w="90" w:type="dxa"/>
              <w:start w:w="140" w:type="dxa"/>
              <w:end w:w="140" w:type="dxa"/>
            </w:tcMar>
            <w:tcBorders>
              <w:start w:val="single" w:sz="26" w:space="0" w:color="2E7D5B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7D5B"/>
                <w:sz w:val="19"/>
              </w:rPr>
              <w:t>COMPLIANCE NOTE</w:t>
            </w:r>
          </w:p>
          <w:p>
            <w:pPr>
              <w:jc w:val="both"/>
            </w:pPr>
            <w:r>
              <w:rPr>
                <w:rFonts w:ascii="Calibri" w:hAnsi="Calibri"/>
                <w:b w:val="0"/>
                <w:i w:val="0"/>
                <w:color w:val="1B2A32"/>
                <w:sz w:val="20"/>
              </w:rPr>
              <w:t>Equator screens for the DRT/SARFAESI carve-out at intake, and offers escrow and fast tracks for the arbitrable commercial-finance disputes (e.g., co-lending, fintech).</w:t>
            </w:r>
          </w:p>
        </w:tc>
      </w:tr>
    </w:tbl>
    <w:p>
      <w:pPr>
        <w:spacing w:after="120"/>
      </w:pP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5.  Real Estate &amp; Lease</w:t>
      </w:r>
    </w:p>
    <w:p>
      <w:pPr>
        <w:keepNext/>
        <w:spacing w:before="220" w:after="80"/>
      </w:pPr>
      <w:r>
        <w:rPr>
          <w:rFonts w:ascii="Calibri" w:hAnsi="Calibri"/>
          <w:b/>
          <w:i w:val="0"/>
          <w:color w:val="1E7A8C"/>
          <w:sz w:val="26"/>
        </w:rPr>
        <w:t>5.1   Typical disputes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Sale, development and JDA disputes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Lease and licence disputes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Construction-linked payment and possession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Brokerage and channel disputes</w:t>
      </w:r>
    </w:p>
    <w:p>
      <w:pPr>
        <w:spacing w:after="40"/>
      </w:pPr>
    </w:p>
    <w:p>
      <w:pPr>
        <w:keepNext/>
        <w:spacing w:before="220" w:after="80"/>
      </w:pPr>
      <w:r>
        <w:rPr>
          <w:rFonts w:ascii="Calibri" w:hAnsi="Calibri"/>
          <w:b/>
          <w:i w:val="0"/>
          <w:color w:val="1E7A8C"/>
          <w:sz w:val="26"/>
        </w:rPr>
        <w:t>5.2   Governing law &amp; interfaces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Governed by the agreement, the Transfer of Property Act and </w:t>
      </w:r>
      <w:r>
        <w:rPr>
          <w:rFonts w:ascii="Calibri" w:hAnsi="Calibri"/>
          <w:b/>
          <w:i w:val="0"/>
          <w:color w:val="1B2A32"/>
          <w:sz w:val="21"/>
        </w:rPr>
        <w:t>RERA</w:t>
      </w:r>
      <w:r>
        <w:rPr>
          <w:rFonts w:ascii="Calibri" w:hAnsi="Calibri"/>
          <w:b w:val="0"/>
          <w:i w:val="0"/>
          <w:color w:val="1B2A32"/>
          <w:sz w:val="21"/>
        </w:rPr>
        <w:t xml:space="preserve">. </w:t>
      </w:r>
      <w:r>
        <w:rPr>
          <w:rFonts w:ascii="Calibri" w:hAnsi="Calibri"/>
          <w:b/>
          <w:i w:val="0"/>
          <w:color w:val="1B2A32"/>
          <w:sz w:val="21"/>
        </w:rPr>
        <w:t>Interface:</w:t>
      </w:r>
      <w:r>
        <w:rPr>
          <w:rFonts w:ascii="Calibri" w:hAnsi="Calibri"/>
          <w:b w:val="0"/>
          <w:i w:val="0"/>
          <w:color w:val="1B2A32"/>
          <w:sz w:val="21"/>
        </w:rPr>
        <w:t xml:space="preserve"> homebuyer complaints and registered-project matters lie with </w:t>
      </w:r>
      <w:r>
        <w:rPr>
          <w:rFonts w:ascii="Calibri" w:hAnsi="Calibri"/>
          <w:b/>
          <w:i w:val="0"/>
          <w:color w:val="1B2A32"/>
          <w:sz w:val="21"/>
        </w:rPr>
        <w:t>RERA</w:t>
      </w:r>
      <w:r>
        <w:rPr>
          <w:rFonts w:ascii="Calibri" w:hAnsi="Calibri"/>
          <w:b w:val="0"/>
          <w:i w:val="0"/>
          <w:color w:val="1B2A32"/>
          <w:sz w:val="21"/>
        </w:rPr>
        <w:t>; B2B development/JDA and commercial leases are generally arbitrable.</w:t>
      </w:r>
    </w:p>
    <w:p>
      <w:pPr>
        <w:keepNext/>
        <w:spacing w:before="220" w:after="80"/>
      </w:pPr>
      <w:r>
        <w:rPr>
          <w:rFonts w:ascii="Calibri" w:hAnsi="Calibri"/>
          <w:b/>
          <w:i w:val="0"/>
          <w:color w:val="1E7A8C"/>
          <w:sz w:val="26"/>
        </w:rPr>
        <w:t>5.3   Mechanism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Arbitration for B2B development/JDA and commercial leases; mediation for relationship-sensitive matters; RERA for homebuyer/consumer matters.</w:t>
      </w:r>
    </w:p>
    <w:p>
      <w:pPr>
        <w:keepNext/>
        <w:spacing w:before="220" w:after="80"/>
      </w:pPr>
      <w:r>
        <w:rPr>
          <w:rFonts w:ascii="Calibri" w:hAnsi="Calibri"/>
          <w:b/>
          <w:i w:val="0"/>
          <w:color w:val="1E7A8C"/>
          <w:sz w:val="26"/>
        </w:rPr>
        <w:t>5.4   Evidence that matters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The sale/development/JDA/lease deed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Approvals, RERA registration, plans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Payment and possession records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Correspondence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23A48"/>
          <w:left w:val="single" w:sz="4" w:space="0" w:color="B23A48"/>
          <w:bottom w:val="single" w:sz="4" w:space="0" w:color="B23A48"/>
          <w:right w:val="single" w:sz="4" w:space="0" w:color="B23A48"/>
          <w:insideH w:val="single" w:sz="4" w:space="0" w:color="B23A48"/>
          <w:insideV w:val="single" w:sz="4" w:space="0" w:color="B23A48"/>
        </w:tblBorders>
      </w:tblPr>
      <w:tblGrid>
        <w:gridCol w:w="9504"/>
      </w:tblGrid>
      <w:tr>
        <w:tc>
          <w:tcPr>
            <w:tcW w:type="dxa" w:w="9504"/>
            <w:shd w:val="clear" w:color="auto" w:fill="F6E0E4"/>
            <w:tcMar>
              <w:top w:w="90" w:type="dxa"/>
              <w:bottom w:w="90" w:type="dxa"/>
              <w:start w:w="140" w:type="dxa"/>
              <w:end w:w="140" w:type="dxa"/>
            </w:tcMar>
            <w:tcBorders>
              <w:start w:val="single" w:sz="26" w:space="0" w:color="B23A4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23A48"/>
                <w:sz w:val="19"/>
              </w:rPr>
              <w:t>RISK / CAUTION</w:t>
            </w:r>
          </w:p>
          <w:p>
            <w:pPr>
              <w:jc w:val="both"/>
            </w:pPr>
            <w:r>
              <w:rPr>
                <w:rFonts w:ascii="Calibri" w:hAnsi="Calibri"/>
                <w:b w:val="0"/>
                <w:i w:val="0"/>
                <w:color w:val="1B2A32"/>
                <w:sz w:val="20"/>
              </w:rPr>
              <w:t>Homebuyer/consumer matters are for RERA/consumer forums, not arbitration (public-interest/statutory forum); commercial real-estate disputes are arbitrable.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2E7D5B"/>
          <w:left w:val="single" w:sz="4" w:space="0" w:color="2E7D5B"/>
          <w:bottom w:val="single" w:sz="4" w:space="0" w:color="2E7D5B"/>
          <w:right w:val="single" w:sz="4" w:space="0" w:color="2E7D5B"/>
          <w:insideH w:val="single" w:sz="4" w:space="0" w:color="2E7D5B"/>
          <w:insideV w:val="single" w:sz="4" w:space="0" w:color="2E7D5B"/>
        </w:tblBorders>
      </w:tblPr>
      <w:tblGrid>
        <w:gridCol w:w="9504"/>
      </w:tblGrid>
      <w:tr>
        <w:tc>
          <w:tcPr>
            <w:tcW w:type="dxa" w:w="9504"/>
            <w:shd w:val="clear" w:color="auto" w:fill="DCEEE4"/>
            <w:tcMar>
              <w:top w:w="90" w:type="dxa"/>
              <w:bottom w:w="90" w:type="dxa"/>
              <w:start w:w="140" w:type="dxa"/>
              <w:end w:w="140" w:type="dxa"/>
            </w:tcMar>
            <w:tcBorders>
              <w:start w:val="single" w:sz="26" w:space="0" w:color="2E7D5B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7D5B"/>
                <w:sz w:val="19"/>
              </w:rPr>
              <w:t>COMPLIANCE NOTE</w:t>
            </w:r>
          </w:p>
          <w:p>
            <w:pPr>
              <w:jc w:val="both"/>
            </w:pPr>
            <w:r>
              <w:rPr>
                <w:rFonts w:ascii="Calibri" w:hAnsi="Calibri"/>
                <w:b w:val="0"/>
                <w:i w:val="0"/>
                <w:color w:val="1B2A32"/>
                <w:sz w:val="20"/>
              </w:rPr>
              <w:t>Equator routes homebuyer matters to RERA and takes the arbitrable commercial real-estate disputes, with escrow for staged payments.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6"/>
      </w:rPr>
    </w:r>
    <w:r>
      <w:rPr>
        <w:rFonts w:ascii="Calibri" w:hAnsi="Calibri"/>
        <w:b w:val="0"/>
        <w:i w:val="0"/>
        <w:color w:val="556168"/>
        <w:sz w:val="16"/>
      </w:rPr>
      <w:t xml:space="preserve">Confidential — Infrabyx Group  ·  © 2026  ·  Page </w:t>
    </w:r>
    <w:r>
      <w:rPr>
        <w:rFonts w:ascii="Calibri" w:hAnsi="Calibri"/>
        <w:b w:val="0"/>
        <w:i w:val="0"/>
        <w:color w:val="556168"/>
        <w:sz w:val="16"/>
      </w:rPr>
      <w:fldChar w:fldCharType="begin"/>
    </w:r>
    <w:r>
      <w:rPr>
        <w:rFonts w:ascii="Calibri" w:hAnsi="Calibri"/>
        <w:b w:val="0"/>
        <w:i w:val="0"/>
        <w:color w:val="556168"/>
        <w:sz w:val="16"/>
      </w:rPr>
      <w:instrText xml:space="preserve">PAGE</w:instrText>
    </w:r>
    <w:r>
      <w:rPr>
        <w:rFonts w:ascii="Calibri" w:hAnsi="Calibri"/>
        <w:b w:val="0"/>
        <w:i w:val="0"/>
        <w:color w:val="556168"/>
        <w:sz w:val="16"/>
      </w:rPr>
      <w:fldChar w:fldCharType="end"/>
    </w:r>
    <w:r>
      <w:rPr>
        <w:rFonts w:ascii="Calibri" w:hAnsi="Calibri"/>
        <w:b w:val="0"/>
        <w:i w:val="0"/>
        <w:color w:val="556168"/>
        <w:sz w:val="16"/>
      </w:rPr>
      <w:t xml:space="preserve"> of </w:t>
    </w:r>
    <w:r>
      <w:rPr>
        <w:rFonts w:ascii="Calibri" w:hAnsi="Calibri"/>
        <w:b w:val="0"/>
        <w:i w:val="0"/>
        <w:color w:val="556168"/>
        <w:sz w:val="16"/>
      </w:rPr>
      <w:fldChar w:fldCharType="begin"/>
    </w:r>
    <w:r>
      <w:rPr>
        <w:rFonts w:ascii="Calibri" w:hAnsi="Calibri"/>
        <w:b w:val="0"/>
        <w:i w:val="0"/>
        <w:color w:val="556168"/>
        <w:sz w:val="16"/>
      </w:rPr>
      <w:instrText xml:space="preserve">NUMPAGES</w:instrText>
    </w:r>
    <w:r>
      <w:rPr>
        <w:rFonts w:ascii="Calibri" w:hAnsi="Calibri"/>
        <w:b w:val="0"/>
        <w:i w:val="0"/>
        <w:color w:val="55616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 |  Sector Dispute Playbooks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2AC273-A3A2-42C0-BB47-DB59F9075CDE}"/>
</file>

<file path=customXml/itemProps3.xml><?xml version="1.0" encoding="utf-8"?>
<ds:datastoreItem xmlns:ds="http://schemas.openxmlformats.org/officeDocument/2006/customXml" ds:itemID="{9210E9EC-CDDB-498E-87F1-736021BC1A9E}"/>
</file>

<file path=customXml/itemProps4.xml><?xml version="1.0" encoding="utf-8"?>
<ds:datastoreItem xmlns:ds="http://schemas.openxmlformats.org/officeDocument/2006/customXml" ds:itemID="{58CC2492-5E5B-4A32-8874-4002B87A18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