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docProps/core.xml" ContentType="application/vnd.openxmlformats-package.core-properties+xml"/>
  <Override PartName="/docProps/app.xml" ContentType="application/vnd.openxmlformats-officedocument.extended-propertie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jpeg"/><Relationship Id="rId1" Type="http://schemas.openxmlformats.org/officeDocument/2006/relationships/officeDocument" Target="word/document.xml"/><Relationship Id="rId5" Type="http://schemas.openxmlformats.org/officeDocument/2006/relationships/custom-properties" Target="docProps/custom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Calibri" w:hAnsi="Calibri"/>
          <w:b/>
          <w:i w:val="0"/>
          <w:color w:val="123B4F"/>
          <w:sz w:val="28"/>
        </w:rPr>
        <w:t>EQUATOR RESOLUTION</w:t>
      </w:r>
    </w:p>
    <w:p>
      <w:pPr>
        <w:spacing w:after="40"/>
        <w:jc w:val="center"/>
        <w:pBdr>
          <w:bottom w:val="single" w:sz="14" w:space="3" w:color="C6A15B"/>
        </w:pBdr>
      </w:pPr>
      <w:r>
        <w:rPr>
          <w:rFonts w:ascii="Calibri" w:hAnsi="Calibri"/>
          <w:b w:val="0"/>
          <w:i/>
          <w:color w:val="1E7A8C"/>
          <w:sz w:val="19"/>
        </w:rPr>
        <w:t>Commercial &amp; Business Dispute Resolution</w:t>
      </w:r>
    </w:p>
    <w:p>
      <w:pPr>
        <w:spacing w:before="160"/>
        <w:jc w:val="center"/>
      </w:pPr>
      <w:r>
        <w:rPr>
          <w:rFonts w:ascii="Calibri" w:hAnsi="Calibri"/>
          <w:b/>
          <w:i w:val="0"/>
          <w:color w:val="123B4F"/>
          <w:sz w:val="42"/>
        </w:rPr>
        <w:t>Conflicts, Independence &amp; Award Quality</w:t>
      </w:r>
    </w:p>
    <w:p>
      <w:pPr>
        <w:spacing w:after="160"/>
        <w:jc w:val="center"/>
      </w:pPr>
      <w:r>
        <w:rPr>
          <w:rFonts w:ascii="Calibri" w:hAnsi="Calibri"/>
          <w:b w:val="0"/>
          <w:i/>
          <w:color w:val="556168"/>
          <w:sz w:val="23"/>
        </w:rPr>
        <w:t>Protecting the enforceability of the award</w:t>
      </w:r>
    </w:p>
    <w:p>
      <w:pPr>
        <w:keepNext/>
        <w:spacing w:before="320" w:after="140"/>
        <w:pBdr>
          <w:bottom w:val="single" w:sz="12" w:space="3" w:color="C6A15B"/>
        </w:pBdr>
      </w:pPr>
      <w:r>
        <w:rPr>
          <w:rFonts w:ascii="Calibri" w:hAnsi="Calibri"/>
          <w:b/>
          <w:i w:val="0"/>
          <w:color w:val="123B4F"/>
          <w:sz w:val="34"/>
        </w:rPr>
        <w:t>1.  Independence &amp; Impartiality Framework</w:t>
      </w:r>
    </w:p>
    <w:p>
      <w:pPr>
        <w:spacing w:after="140"/>
        <w:jc w:val="both"/>
      </w:pPr>
      <w:r>
        <w:rPr>
          <w:rFonts w:ascii="Calibri" w:hAnsi="Calibri"/>
          <w:b w:val="0"/>
          <w:i w:val="0"/>
          <w:color w:val="1B2A32"/>
          <w:sz w:val="21"/>
        </w:rPr>
        <w:t xml:space="preserve">Every arbitrator must be and remain independent and impartial. Indian law codifies this through </w:t>
      </w:r>
      <w:r>
        <w:rPr>
          <w:rFonts w:ascii="Calibri" w:hAnsi="Calibri"/>
          <w:b/>
          <w:i w:val="0"/>
          <w:color w:val="1B2A32"/>
          <w:sz w:val="21"/>
        </w:rPr>
        <w:t>Section 12</w:t>
      </w:r>
      <w:r>
        <w:rPr>
          <w:rFonts w:ascii="Calibri" w:hAnsi="Calibri"/>
          <w:b w:val="0"/>
          <w:i w:val="0"/>
          <w:color w:val="1B2A32"/>
          <w:sz w:val="21"/>
        </w:rPr>
        <w:t xml:space="preserve"> and the </w:t>
      </w:r>
      <w:r>
        <w:rPr>
          <w:rFonts w:ascii="Calibri" w:hAnsi="Calibri"/>
          <w:b/>
          <w:i w:val="0"/>
          <w:color w:val="1B2A32"/>
          <w:sz w:val="21"/>
        </w:rPr>
        <w:t>Fifth Schedule</w:t>
      </w:r>
      <w:r>
        <w:rPr>
          <w:rFonts w:ascii="Calibri" w:hAnsi="Calibri"/>
          <w:b w:val="0"/>
          <w:i w:val="0"/>
          <w:color w:val="1B2A32"/>
          <w:sz w:val="21"/>
        </w:rPr>
        <w:t xml:space="preserve"> (grounds giving rise to justifiable doubts — disclosure required) and </w:t>
      </w:r>
      <w:r>
        <w:rPr>
          <w:rFonts w:ascii="Calibri" w:hAnsi="Calibri"/>
          <w:b/>
          <w:i w:val="0"/>
          <w:color w:val="1B2A32"/>
          <w:sz w:val="21"/>
        </w:rPr>
        <w:t>Seventh Schedule</w:t>
      </w:r>
      <w:r>
        <w:rPr>
          <w:rFonts w:ascii="Calibri" w:hAnsi="Calibri"/>
          <w:b w:val="0"/>
          <w:i w:val="0"/>
          <w:color w:val="1B2A32"/>
          <w:sz w:val="21"/>
        </w:rPr>
        <w:t xml:space="preserve"> (grounds of </w:t>
      </w:r>
      <w:r>
        <w:rPr>
          <w:rFonts w:ascii="Calibri" w:hAnsi="Calibri"/>
          <w:b/>
          <w:i w:val="0"/>
          <w:color w:val="1B2A32"/>
          <w:sz w:val="21"/>
        </w:rPr>
        <w:t>ineligibility</w:t>
      </w:r>
      <w:r>
        <w:rPr>
          <w:rFonts w:ascii="Calibri" w:hAnsi="Calibri"/>
          <w:b w:val="0"/>
          <w:i w:val="0"/>
          <w:color w:val="1B2A32"/>
          <w:sz w:val="21"/>
        </w:rPr>
        <w:t xml:space="preserve"> — the arbitrator cannot act). Equator aligns its practice with the internationally used </w:t>
      </w:r>
      <w:r>
        <w:rPr>
          <w:rFonts w:ascii="Calibri" w:hAnsi="Calibri"/>
          <w:b/>
          <w:i w:val="0"/>
          <w:color w:val="1B2A32"/>
          <w:sz w:val="21"/>
        </w:rPr>
        <w:t>IBA Guidelines on Conflicts of Interest</w:t>
      </w:r>
      <w:r>
        <w:rPr>
          <w:rFonts w:ascii="Calibri" w:hAnsi="Calibri"/>
          <w:b w:val="0"/>
          <w:i w:val="0"/>
          <w:color w:val="1B2A32"/>
          <w:sz w:val="21"/>
        </w:rPr>
        <w:t xml:space="preserve"> (Red / Orange / Green lists), which map onto the Schedules.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space="0" w:color="C4D0D6"/>
          <w:left w:val="single" w:sz="4" w:space="0" w:color="C4D0D6"/>
          <w:bottom w:val="single" w:sz="4" w:space="0" w:color="C4D0D6"/>
          <w:right w:val="single" w:sz="4" w:space="0" w:color="C4D0D6"/>
          <w:insideH w:val="single" w:sz="4" w:space="0" w:color="C4D0D6"/>
          <w:insideV w:val="single" w:sz="4" w:space="0" w:color="C4D0D6"/>
        </w:tblBorders>
      </w:tblPr>
      <w:tblGrid>
        <w:gridCol w:w="3168"/>
        <w:gridCol w:w="3168"/>
        <w:gridCol w:w="3168"/>
      </w:tblGrid>
      <w:tr>
        <w:trPr>
          <w:trHeight w:val="0"/>
        </w:trPr>
        <w:tc>
          <w:tcPr>
            <w:tcW w:type="dxa" w:w="2471"/>
            <w:shd w:val="clear" w:color="auto" w:fill="123B4F"/>
            <w:tcMar>
              <w:top w:w="60" w:type="dxa"/>
              <w:bottom w:w="60" w:type="dxa"/>
              <w:start w:w="110" w:type="dxa"/>
              <w:end w:w="11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b/>
                <w:i w:val="0"/>
                <w:color w:val="FFFFFF"/>
                <w:sz w:val="17"/>
              </w:rPr>
              <w:t>Category</w:t>
            </w:r>
          </w:p>
        </w:tc>
        <w:tc>
          <w:tcPr>
            <w:tcW w:type="dxa" w:w="4562"/>
            <w:shd w:val="clear" w:color="auto" w:fill="123B4F"/>
            <w:tcMar>
              <w:top w:w="60" w:type="dxa"/>
              <w:bottom w:w="60" w:type="dxa"/>
              <w:start w:w="110" w:type="dxa"/>
              <w:end w:w="11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b/>
                <w:i w:val="0"/>
                <w:color w:val="FFFFFF"/>
                <w:sz w:val="17"/>
              </w:rPr>
              <w:t>Meaning</w:t>
            </w:r>
          </w:p>
        </w:tc>
        <w:tc>
          <w:tcPr>
            <w:tcW w:type="dxa" w:w="2471"/>
            <w:shd w:val="clear" w:color="auto" w:fill="123B4F"/>
            <w:tcMar>
              <w:top w:w="60" w:type="dxa"/>
              <w:bottom w:w="60" w:type="dxa"/>
              <w:start w:w="110" w:type="dxa"/>
              <w:end w:w="11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b/>
                <w:i w:val="0"/>
                <w:color w:val="FFFFFF"/>
                <w:sz w:val="17"/>
              </w:rPr>
              <w:t>Equator action</w:t>
            </w:r>
          </w:p>
        </w:tc>
      </w:tr>
      <w:tr>
        <w:trPr>
          <w:trHeight w:val="0"/>
        </w:trPr>
        <w:tc>
          <w:tcPr>
            <w:tcW w:type="dxa" w:w="2471"/>
            <w:tcMar>
              <w:top w:w="60" w:type="dxa"/>
              <w:bottom w:w="60" w:type="dxa"/>
              <w:start w:w="110" w:type="dxa"/>
              <w:end w:w="110" w:type="dxa"/>
            </w:tcMar>
          </w:tcPr>
          <w:p>
            <w:pPr>
              <w:spacing w:after="0"/>
              <w:jc w:val="left"/>
            </w:pPr>
            <w:r>
              <w:rPr>
                <w:rFonts w:ascii="Calibri" w:hAnsi="Calibri"/>
                <w:b w:val="0"/>
                <w:i w:val="0"/>
                <w:color w:val="1B2A32"/>
                <w:sz w:val="17"/>
              </w:rPr>
              <w:t>Seventh Schedule / IBA Non-waivable Red</w:t>
            </w:r>
          </w:p>
        </w:tc>
        <w:tc>
          <w:tcPr>
            <w:tcW w:type="dxa" w:w="4562"/>
            <w:tcMar>
              <w:top w:w="60" w:type="dxa"/>
              <w:bottom w:w="60" w:type="dxa"/>
              <w:start w:w="110" w:type="dxa"/>
              <w:end w:w="110" w:type="dxa"/>
            </w:tcMar>
          </w:tcPr>
          <w:p>
            <w:pPr>
              <w:spacing w:after="0"/>
              <w:jc w:val="left"/>
            </w:pPr>
            <w:r>
              <w:rPr>
                <w:rFonts w:ascii="Calibri" w:hAnsi="Calibri"/>
                <w:b w:val="0"/>
                <w:i w:val="0"/>
                <w:color w:val="1B2A32"/>
                <w:sz w:val="17"/>
              </w:rPr>
              <w:t>Ineligibility — e.g., arbitrator is a party, employee, or has a significant interest</w:t>
            </w:r>
          </w:p>
        </w:tc>
        <w:tc>
          <w:tcPr>
            <w:tcW w:type="dxa" w:w="2471"/>
            <w:tcMar>
              <w:top w:w="60" w:type="dxa"/>
              <w:bottom w:w="60" w:type="dxa"/>
              <w:start w:w="110" w:type="dxa"/>
              <w:end w:w="110" w:type="dxa"/>
            </w:tcMar>
          </w:tcPr>
          <w:p>
            <w:pPr>
              <w:spacing w:after="0"/>
              <w:jc w:val="left"/>
            </w:pPr>
            <w:r>
              <w:rPr>
                <w:rFonts w:ascii="Calibri" w:hAnsi="Calibri"/>
                <w:b w:val="0"/>
                <w:i w:val="0"/>
                <w:color w:val="1B2A32"/>
                <w:sz w:val="17"/>
              </w:rPr>
              <w:t>Cannot be appointed; no waiver</w:t>
            </w:r>
          </w:p>
        </w:tc>
      </w:tr>
      <w:tr>
        <w:trPr>
          <w:trHeight w:val="0"/>
        </w:trPr>
        <w:tc>
          <w:tcPr>
            <w:tcW w:type="dxa" w:w="2471"/>
            <w:tcMar>
              <w:top w:w="60" w:type="dxa"/>
              <w:bottom w:w="60" w:type="dxa"/>
              <w:start w:w="110" w:type="dxa"/>
              <w:end w:w="110" w:type="dxa"/>
            </w:tcMar>
            <w:shd w:val="clear" w:color="auto" w:fill="F2F6F8"/>
          </w:tcPr>
          <w:p>
            <w:pPr>
              <w:spacing w:after="0"/>
              <w:jc w:val="left"/>
            </w:pPr>
            <w:r>
              <w:rPr>
                <w:rFonts w:ascii="Calibri" w:hAnsi="Calibri"/>
                <w:b w:val="0"/>
                <w:i w:val="0"/>
                <w:color w:val="1B2A32"/>
                <w:sz w:val="17"/>
              </w:rPr>
              <w:t>Waivable Red</w:t>
            </w:r>
          </w:p>
        </w:tc>
        <w:tc>
          <w:tcPr>
            <w:tcW w:type="dxa" w:w="4562"/>
            <w:tcMar>
              <w:top w:w="60" w:type="dxa"/>
              <w:bottom w:w="60" w:type="dxa"/>
              <w:start w:w="110" w:type="dxa"/>
              <w:end w:w="110" w:type="dxa"/>
            </w:tcMar>
            <w:shd w:val="clear" w:color="auto" w:fill="F2F6F8"/>
          </w:tcPr>
          <w:p>
            <w:pPr>
              <w:spacing w:after="0"/>
              <w:jc w:val="left"/>
            </w:pPr>
            <w:r>
              <w:rPr>
                <w:rFonts w:ascii="Calibri" w:hAnsi="Calibri"/>
                <w:b w:val="0"/>
                <w:i w:val="0"/>
                <w:color w:val="1B2A32"/>
                <w:sz w:val="17"/>
              </w:rPr>
              <w:t>Serious conflicts waivable only by express, informed consent</w:t>
            </w:r>
          </w:p>
        </w:tc>
        <w:tc>
          <w:tcPr>
            <w:tcW w:type="dxa" w:w="2471"/>
            <w:tcMar>
              <w:top w:w="60" w:type="dxa"/>
              <w:bottom w:w="60" w:type="dxa"/>
              <w:start w:w="110" w:type="dxa"/>
              <w:end w:w="110" w:type="dxa"/>
            </w:tcMar>
            <w:shd w:val="clear" w:color="auto" w:fill="F2F6F8"/>
          </w:tcPr>
          <w:p>
            <w:pPr>
              <w:spacing w:after="0"/>
              <w:jc w:val="left"/>
            </w:pPr>
            <w:r>
              <w:rPr>
                <w:rFonts w:ascii="Calibri" w:hAnsi="Calibri"/>
                <w:b w:val="0"/>
                <w:i w:val="0"/>
                <w:color w:val="1B2A32"/>
                <w:sz w:val="17"/>
              </w:rPr>
              <w:t>Full disclosure; explicit written waiver or decline</w:t>
            </w:r>
          </w:p>
        </w:tc>
      </w:tr>
      <w:tr>
        <w:trPr>
          <w:trHeight w:val="0"/>
        </w:trPr>
        <w:tc>
          <w:tcPr>
            <w:tcW w:type="dxa" w:w="2471"/>
            <w:tcMar>
              <w:top w:w="60" w:type="dxa"/>
              <w:bottom w:w="60" w:type="dxa"/>
              <w:start w:w="110" w:type="dxa"/>
              <w:end w:w="110" w:type="dxa"/>
            </w:tcMar>
          </w:tcPr>
          <w:p>
            <w:pPr>
              <w:spacing w:after="0"/>
              <w:jc w:val="left"/>
            </w:pPr>
            <w:r>
              <w:rPr>
                <w:rFonts w:ascii="Calibri" w:hAnsi="Calibri"/>
                <w:b w:val="0"/>
                <w:i w:val="0"/>
                <w:color w:val="1B2A32"/>
                <w:sz w:val="17"/>
              </w:rPr>
              <w:t>Fifth Schedule / IBA Orange</w:t>
            </w:r>
          </w:p>
        </w:tc>
        <w:tc>
          <w:tcPr>
            <w:tcW w:type="dxa" w:w="4562"/>
            <w:tcMar>
              <w:top w:w="60" w:type="dxa"/>
              <w:bottom w:w="60" w:type="dxa"/>
              <w:start w:w="110" w:type="dxa"/>
              <w:end w:w="110" w:type="dxa"/>
            </w:tcMar>
          </w:tcPr>
          <w:p>
            <w:pPr>
              <w:spacing w:after="0"/>
              <w:jc w:val="left"/>
            </w:pPr>
            <w:r>
              <w:rPr>
                <w:rFonts w:ascii="Calibri" w:hAnsi="Calibri"/>
                <w:b w:val="0"/>
                <w:i w:val="0"/>
                <w:color w:val="1B2A32"/>
                <w:sz w:val="17"/>
              </w:rPr>
              <w:t>Situations that may raise doubts (past appointments, prior advice, relationships)</w:t>
            </w:r>
          </w:p>
        </w:tc>
        <w:tc>
          <w:tcPr>
            <w:tcW w:type="dxa" w:w="2471"/>
            <w:tcMar>
              <w:top w:w="60" w:type="dxa"/>
              <w:bottom w:w="60" w:type="dxa"/>
              <w:start w:w="110" w:type="dxa"/>
              <w:end w:w="110" w:type="dxa"/>
            </w:tcMar>
          </w:tcPr>
          <w:p>
            <w:pPr>
              <w:spacing w:after="0"/>
              <w:jc w:val="left"/>
            </w:pPr>
            <w:r>
              <w:rPr>
                <w:rFonts w:ascii="Calibri" w:hAnsi="Calibri"/>
                <w:b w:val="0"/>
                <w:i w:val="0"/>
                <w:color w:val="1B2A32"/>
                <w:sz w:val="17"/>
              </w:rPr>
              <w:t>Disclose; parties may object; Equator decides</w:t>
            </w:r>
          </w:p>
        </w:tc>
      </w:tr>
      <w:tr>
        <w:trPr>
          <w:trHeight w:val="0"/>
        </w:trPr>
        <w:tc>
          <w:tcPr>
            <w:tcW w:type="dxa" w:w="2471"/>
            <w:tcMar>
              <w:top w:w="60" w:type="dxa"/>
              <w:bottom w:w="60" w:type="dxa"/>
              <w:start w:w="110" w:type="dxa"/>
              <w:end w:w="110" w:type="dxa"/>
            </w:tcMar>
            <w:shd w:val="clear" w:color="auto" w:fill="F2F6F8"/>
          </w:tcPr>
          <w:p>
            <w:pPr>
              <w:spacing w:after="0"/>
              <w:jc w:val="left"/>
            </w:pPr>
            <w:r>
              <w:rPr>
                <w:rFonts w:ascii="Calibri" w:hAnsi="Calibri"/>
                <w:b w:val="0"/>
                <w:i w:val="0"/>
                <w:color w:val="1B2A32"/>
                <w:sz w:val="17"/>
              </w:rPr>
              <w:t>IBA Green</w:t>
            </w:r>
          </w:p>
        </w:tc>
        <w:tc>
          <w:tcPr>
            <w:tcW w:type="dxa" w:w="4562"/>
            <w:tcMar>
              <w:top w:w="60" w:type="dxa"/>
              <w:bottom w:w="60" w:type="dxa"/>
              <w:start w:w="110" w:type="dxa"/>
              <w:end w:w="110" w:type="dxa"/>
            </w:tcMar>
            <w:shd w:val="clear" w:color="auto" w:fill="F2F6F8"/>
          </w:tcPr>
          <w:p>
            <w:pPr>
              <w:spacing w:after="0"/>
              <w:jc w:val="left"/>
            </w:pPr>
            <w:r>
              <w:rPr>
                <w:rFonts w:ascii="Calibri" w:hAnsi="Calibri"/>
                <w:b w:val="0"/>
                <w:i w:val="0"/>
                <w:color w:val="1B2A32"/>
                <w:sz w:val="17"/>
              </w:rPr>
              <w:t>No conflict / immaterial</w:t>
            </w:r>
          </w:p>
        </w:tc>
        <w:tc>
          <w:tcPr>
            <w:tcW w:type="dxa" w:w="2471"/>
            <w:tcMar>
              <w:top w:w="60" w:type="dxa"/>
              <w:bottom w:w="60" w:type="dxa"/>
              <w:start w:w="110" w:type="dxa"/>
              <w:end w:w="110" w:type="dxa"/>
            </w:tcMar>
            <w:shd w:val="clear" w:color="auto" w:fill="F2F6F8"/>
          </w:tcPr>
          <w:p>
            <w:pPr>
              <w:spacing w:after="0"/>
              <w:jc w:val="left"/>
            </w:pPr>
            <w:r>
              <w:rPr>
                <w:rFonts w:ascii="Calibri" w:hAnsi="Calibri"/>
                <w:b w:val="0"/>
                <w:i w:val="0"/>
                <w:color w:val="1B2A32"/>
                <w:sz w:val="17"/>
              </w:rPr>
              <w:t>No disclosure required, but disclose if in doubt</w:t>
            </w:r>
          </w:p>
        </w:tc>
      </w:tr>
    </w:tbl>
    <w:p>
      <w:pPr>
        <w:spacing w:after="80"/>
      </w:pPr>
    </w:p>
    <w:p>
      <w:pPr>
        <w:spacing w:before="20" w:after="200"/>
        <w:jc w:val="center"/>
      </w:pPr>
      <w:r>
        <w:rPr>
          <w:rFonts w:ascii="Calibri" w:hAnsi="Calibri"/>
          <w:b w:val="0"/>
          <w:i/>
          <w:color w:val="556168"/>
          <w:sz w:val="17"/>
        </w:rPr>
        <w:t>Table — Conflict categories mapped to the Schedules and IBA Guidelines.</w:t>
      </w:r>
    </w:p>
    <w:p>
      <w:pPr>
        <w:keepNext/>
        <w:spacing w:before="320" w:after="140"/>
        <w:pBdr>
          <w:bottom w:val="single" w:sz="12" w:space="3" w:color="C6A15B"/>
        </w:pBdr>
      </w:pPr>
      <w:r>
        <w:rPr>
          <w:rFonts w:ascii="Calibri" w:hAnsi="Calibri"/>
          <w:b/>
          <w:i w:val="0"/>
          <w:color w:val="123B4F"/>
          <w:sz w:val="34"/>
        </w:rPr>
        <w:t>2.  Disclosure &amp; Challenge Procedure</w:t>
      </w:r>
    </w:p>
    <w:p>
      <w:pPr>
        <w:pStyle w:val="ListNumber"/>
        <w:spacing w:after="60"/>
        <w:jc w:val="both"/>
      </w:pPr>
      <w:r>
        <w:rPr>
          <w:rFonts w:ascii="Calibri" w:hAnsi="Calibri"/>
          <w:b w:val="0"/>
          <w:i w:val="0"/>
          <w:color w:val="1B2A32"/>
          <w:sz w:val="21"/>
        </w:rPr>
        <w:t>Before appointment, the arbitrator completes the disclosure statement (Form F-C06) addressing the Fifth and Seventh Schedules.</w:t>
      </w:r>
    </w:p>
    <w:p>
      <w:pPr>
        <w:pStyle w:val="ListNumber"/>
        <w:spacing w:after="60"/>
        <w:jc w:val="both"/>
      </w:pPr>
      <w:r>
        <w:rPr>
          <w:rFonts w:ascii="Calibri" w:hAnsi="Calibri"/>
          <w:b w:val="0"/>
          <w:i w:val="0"/>
          <w:color w:val="1B2A32"/>
          <w:sz w:val="21"/>
        </w:rPr>
        <w:t>Equator circulates disclosures to the parties, who may object within [15] days.</w:t>
      </w:r>
    </w:p>
    <w:p>
      <w:pPr>
        <w:pStyle w:val="ListNumber"/>
        <w:spacing w:after="60"/>
        <w:jc w:val="both"/>
      </w:pPr>
      <w:r>
        <w:rPr>
          <w:rFonts w:ascii="Calibri" w:hAnsi="Calibri"/>
          <w:b w:val="0"/>
          <w:i w:val="0"/>
          <w:color w:val="1B2A32"/>
          <w:sz w:val="21"/>
        </w:rPr>
        <w:t>A challenge is decided by agreement, by the arbitrator's withdrawal, or by Equator; the continuing duty to disclose applies throughout.</w:t>
      </w:r>
    </w:p>
    <w:p>
      <w:pPr>
        <w:pStyle w:val="ListNumber"/>
        <w:spacing w:after="60"/>
        <w:jc w:val="both"/>
      </w:pPr>
      <w:r>
        <w:rPr>
          <w:rFonts w:ascii="Calibri" w:hAnsi="Calibri"/>
          <w:b w:val="0"/>
          <w:i w:val="0"/>
          <w:color w:val="1B2A32"/>
          <w:sz w:val="21"/>
        </w:rPr>
        <w:t>An arbitrator caught by the Seventh Schedule is de jure ineligible and is not appointed or is replaced.</w:t>
      </w:r>
    </w:p>
    <w:p>
      <w:pPr>
        <w:spacing w:after="40"/>
      </w:pPr>
    </w:p>
    <w:p>
      <w:pPr>
        <w:keepNext/>
        <w:spacing w:before="320" w:after="140"/>
        <w:pBdr>
          <w:bottom w:val="single" w:sz="12" w:space="3" w:color="C6A15B"/>
        </w:pBdr>
      </w:pPr>
      <w:r>
        <w:rPr>
          <w:rFonts w:ascii="Calibri" w:hAnsi="Calibri"/>
          <w:b/>
          <w:i w:val="0"/>
          <w:color w:val="123B4F"/>
          <w:sz w:val="34"/>
        </w:rPr>
        <w:t>3.  Award-Scrutiny Checklist (form, not substance)</w:t>
      </w:r>
    </w:p>
    <w:p>
      <w:pPr>
        <w:spacing w:after="140"/>
        <w:jc w:val="both"/>
      </w:pPr>
      <w:r>
        <w:rPr>
          <w:rFonts w:ascii="Calibri" w:hAnsi="Calibri"/>
          <w:b w:val="0"/>
          <w:i w:val="0"/>
          <w:color w:val="1B2A32"/>
          <w:sz w:val="21"/>
        </w:rPr>
        <w:t xml:space="preserve">Before signature, Equator scrutinises the draft award as to </w:t>
      </w:r>
      <w:r>
        <w:rPr>
          <w:rFonts w:ascii="Calibri" w:hAnsi="Calibri"/>
          <w:b/>
          <w:i w:val="0"/>
          <w:color w:val="1B2A32"/>
          <w:sz w:val="21"/>
        </w:rPr>
        <w:t>form</w:t>
      </w:r>
      <w:r>
        <w:rPr>
          <w:rFonts w:ascii="Calibri" w:hAnsi="Calibri"/>
          <w:b w:val="0"/>
          <w:i w:val="0"/>
          <w:color w:val="1B2A32"/>
          <w:sz w:val="21"/>
        </w:rPr>
        <w:t xml:space="preserve"> (never merits) to reduce the risk of a successful Section 34 challenge. The tribunal remains solely responsible for the decision.</w:t>
      </w:r>
    </w:p>
    <w:p>
      <w:pPr>
        <w:pStyle w:val="ListBullet"/>
        <w:spacing w:after="60"/>
        <w:jc w:val="both"/>
      </w:pPr>
      <w:r>
        <w:rPr>
          <w:rFonts w:ascii="Calibri" w:hAnsi="Calibri"/>
          <w:b w:val="0"/>
          <w:i w:val="0"/>
          <w:color w:val="1B2A32"/>
          <w:sz w:val="21"/>
        </w:rPr>
        <w:t>Correct parties, case number, seat and date stated</w:t>
      </w:r>
    </w:p>
    <w:p>
      <w:pPr>
        <w:pStyle w:val="ListBullet"/>
        <w:spacing w:after="60"/>
        <w:jc w:val="both"/>
      </w:pPr>
      <w:r>
        <w:rPr>
          <w:rFonts w:ascii="Calibri" w:hAnsi="Calibri"/>
          <w:b w:val="0"/>
          <w:i w:val="0"/>
          <w:color w:val="1B2A32"/>
          <w:sz w:val="21"/>
        </w:rPr>
        <w:t>All claims, counterclaims and issues addressed (nothing omitted, nothing beyond scope)</w:t>
      </w:r>
    </w:p>
    <w:p>
      <w:pPr>
        <w:pStyle w:val="ListBullet"/>
        <w:spacing w:after="60"/>
        <w:jc w:val="both"/>
      </w:pPr>
      <w:r>
        <w:rPr>
          <w:rFonts w:ascii="Calibri" w:hAnsi="Calibri"/>
          <w:b w:val="0"/>
          <w:i w:val="0"/>
          <w:color w:val="1B2A32"/>
          <w:sz w:val="21"/>
        </w:rPr>
        <w:t>Reasons given for each finding (natural justice; both sides heard)</w:t>
      </w:r>
    </w:p>
    <w:p>
      <w:pPr>
        <w:pStyle w:val="ListBullet"/>
        <w:spacing w:after="60"/>
        <w:jc w:val="both"/>
      </w:pPr>
      <w:r>
        <w:rPr>
          <w:rFonts w:ascii="Calibri" w:hAnsi="Calibri"/>
          <w:b w:val="0"/>
          <w:i w:val="0"/>
          <w:color w:val="1B2A32"/>
          <w:sz w:val="21"/>
        </w:rPr>
        <w:t>Interest and costs dealt with, with basis</w:t>
      </w:r>
    </w:p>
    <w:p>
      <w:pPr>
        <w:pStyle w:val="ListBullet"/>
        <w:spacing w:after="60"/>
        <w:jc w:val="both"/>
      </w:pPr>
      <w:r>
        <w:rPr>
          <w:rFonts w:ascii="Calibri" w:hAnsi="Calibri"/>
          <w:b w:val="0"/>
          <w:i w:val="0"/>
          <w:color w:val="1B2A32"/>
          <w:sz w:val="21"/>
        </w:rPr>
        <w:t>Within the Section 29A period; extensions on record</w:t>
      </w:r>
    </w:p>
    <w:p>
      <w:pPr>
        <w:pStyle w:val="ListBullet"/>
        <w:spacing w:after="60"/>
        <w:jc w:val="both"/>
      </w:pPr>
      <w:r>
        <w:rPr>
          <w:rFonts w:ascii="Calibri" w:hAnsi="Calibri"/>
          <w:b w:val="0"/>
          <w:i w:val="0"/>
          <w:color w:val="1B2A32"/>
          <w:sz w:val="21"/>
        </w:rPr>
        <w:t>Signed by all arbitrators (or majority, with reason for any absence)</w:t>
      </w:r>
    </w:p>
    <w:p>
      <w:pPr>
        <w:pStyle w:val="ListBullet"/>
        <w:spacing w:after="60"/>
        <w:jc w:val="both"/>
      </w:pPr>
      <w:r>
        <w:rPr>
          <w:rFonts w:ascii="Calibri" w:hAnsi="Calibri"/>
          <w:b w:val="0"/>
          <w:i w:val="0"/>
          <w:color w:val="1B2A32"/>
          <w:sz w:val="21"/>
        </w:rPr>
        <w:t>Operative part clear and enforceable (sums, timelines, directions)</w:t>
      </w:r>
    </w:p>
    <w:p>
      <w:pPr>
        <w:pStyle w:val="ListBullet"/>
        <w:spacing w:after="60"/>
        <w:jc w:val="both"/>
      </w:pPr>
      <w:r>
        <w:rPr>
          <w:rFonts w:ascii="Calibri" w:hAnsi="Calibri"/>
          <w:b w:val="0"/>
          <w:i w:val="0"/>
          <w:color w:val="1B2A32"/>
          <w:sz w:val="21"/>
        </w:rPr>
        <w:t>No patent illegality or conflict with public policy on its face</w:t>
      </w:r>
    </w:p>
    <w:p>
      <w:pPr>
        <w:pStyle w:val="ListBullet"/>
        <w:spacing w:after="60"/>
        <w:jc w:val="both"/>
      </w:pPr>
      <w:r>
        <w:rPr>
          <w:rFonts w:ascii="Calibri" w:hAnsi="Calibri"/>
          <w:b w:val="0"/>
          <w:i w:val="0"/>
          <w:color w:val="1B2A32"/>
          <w:sz w:val="21"/>
        </w:rPr>
        <w:t>Confidentiality and delivery arrangements noted</w:t>
      </w:r>
    </w:p>
    <w:p>
      <w:pPr>
        <w:spacing w:after="40"/>
      </w:pP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space="0" w:color="2E7D5B"/>
          <w:left w:val="single" w:sz="4" w:space="0" w:color="2E7D5B"/>
          <w:bottom w:val="single" w:sz="4" w:space="0" w:color="2E7D5B"/>
          <w:right w:val="single" w:sz="4" w:space="0" w:color="2E7D5B"/>
          <w:insideH w:val="single" w:sz="4" w:space="0" w:color="2E7D5B"/>
          <w:insideV w:val="single" w:sz="4" w:space="0" w:color="2E7D5B"/>
        </w:tblBorders>
      </w:tblPr>
      <w:tblGrid>
        <w:gridCol w:w="9504"/>
      </w:tblGrid>
      <w:tr>
        <w:tc>
          <w:tcPr>
            <w:tcW w:type="dxa" w:w="9504"/>
            <w:shd w:val="clear" w:color="auto" w:fill="DCEEE4"/>
            <w:tcMar>
              <w:top w:w="90" w:type="dxa"/>
              <w:bottom w:w="90" w:type="dxa"/>
              <w:start w:w="140" w:type="dxa"/>
              <w:end w:w="140" w:type="dxa"/>
            </w:tcMar>
            <w:tcBorders>
              <w:start w:val="single" w:sz="26" w:space="0" w:color="2E7D5B"/>
            </w:tcBorders>
          </w:tcPr>
          <w:p>
            <w:pPr>
              <w:spacing w:after="40"/>
            </w:pPr>
            <w:r>
              <w:rPr>
                <w:rFonts w:ascii="Calibri" w:hAnsi="Calibri"/>
                <w:b/>
                <w:i w:val="0"/>
                <w:color w:val="2E7D5B"/>
                <w:sz w:val="19"/>
              </w:rPr>
              <w:t>COMPLIANCE NOTE</w:t>
            </w:r>
          </w:p>
          <w:p>
            <w:pPr>
              <w:jc w:val="both"/>
            </w:pPr>
            <w:r>
              <w:rPr>
                <w:rFonts w:ascii="Calibri" w:hAnsi="Calibri"/>
                <w:b w:val="0"/>
                <w:i w:val="0"/>
                <w:color w:val="1B2A32"/>
                <w:sz w:val="20"/>
              </w:rPr>
              <w:t>This scrutiny mirrors the practice of leading institutions (e.g., ICC award scrutiny) and is one of the strongest levers to keep set-aside rates low — a headline institutional quality metric.</w:t>
            </w:r>
          </w:p>
        </w:tc>
      </w:tr>
    </w:tbl>
    <w:p>
      <w:pPr>
        <w:spacing w:after="120"/>
      </w:pPr>
    </w:p>
    <w:sectPr w:rsidR="00FC693F" w:rsidRPr="0006063C" w:rsidSect="00034616">
      <w:headerReference w:type="default" r:id="rId9"/>
      <w:footerReference w:type="default" r:id="rId10"/>
      <w:pgSz w:w="12240" w:h="15840"/>
      <w:pgMar w:top="1296" w:right="1368" w:bottom="1296" w:left="1368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Calibri" w:hAnsi="Calibri"/>
        <w:b w:val="0"/>
        <w:i w:val="0"/>
        <w:color w:val="556168"/>
        <w:sz w:val="16"/>
      </w:rPr>
    </w:r>
    <w:r>
      <w:rPr>
        <w:rFonts w:ascii="Calibri" w:hAnsi="Calibri"/>
        <w:b w:val="0"/>
        <w:i w:val="0"/>
        <w:color w:val="556168"/>
        <w:sz w:val="16"/>
      </w:rPr>
      <w:t xml:space="preserve">Confidential — Infrabyx Group  ·  © 2026  ·  Page </w:t>
    </w:r>
    <w:r>
      <w:rPr>
        <w:rFonts w:ascii="Calibri" w:hAnsi="Calibri"/>
        <w:b w:val="0"/>
        <w:i w:val="0"/>
        <w:color w:val="556168"/>
        <w:sz w:val="16"/>
      </w:rPr>
      <w:fldChar w:fldCharType="begin"/>
    </w:r>
    <w:r>
      <w:rPr>
        <w:rFonts w:ascii="Calibri" w:hAnsi="Calibri"/>
        <w:b w:val="0"/>
        <w:i w:val="0"/>
        <w:color w:val="556168"/>
        <w:sz w:val="16"/>
      </w:rPr>
      <w:instrText xml:space="preserve">PAGE</w:instrText>
    </w:r>
    <w:r>
      <w:rPr>
        <w:rFonts w:ascii="Calibri" w:hAnsi="Calibri"/>
        <w:b w:val="0"/>
        <w:i w:val="0"/>
        <w:color w:val="556168"/>
        <w:sz w:val="16"/>
      </w:rPr>
      <w:fldChar w:fldCharType="end"/>
    </w:r>
    <w:r>
      <w:rPr>
        <w:rFonts w:ascii="Calibri" w:hAnsi="Calibri"/>
        <w:b w:val="0"/>
        <w:i w:val="0"/>
        <w:color w:val="556168"/>
        <w:sz w:val="16"/>
      </w:rPr>
      <w:t xml:space="preserve"> of </w:t>
    </w:r>
    <w:r>
      <w:rPr>
        <w:rFonts w:ascii="Calibri" w:hAnsi="Calibri"/>
        <w:b w:val="0"/>
        <w:i w:val="0"/>
        <w:color w:val="556168"/>
        <w:sz w:val="16"/>
      </w:rPr>
      <w:fldChar w:fldCharType="begin"/>
    </w:r>
    <w:r>
      <w:rPr>
        <w:rFonts w:ascii="Calibri" w:hAnsi="Calibri"/>
        <w:b w:val="0"/>
        <w:i w:val="0"/>
        <w:color w:val="556168"/>
        <w:sz w:val="16"/>
      </w:rPr>
      <w:instrText xml:space="preserve">NUMPAGES</w:instrText>
    </w:r>
    <w:r>
      <w:rPr>
        <w:rFonts w:ascii="Calibri" w:hAnsi="Calibri"/>
        <w:b w:val="0"/>
        <w:i w:val="0"/>
        <w:color w:val="556168"/>
        <w:sz w:val="16"/>
      </w:rPr>
      <w:fldChar w:fldCharType="end"/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right"/>
      <w:pBdr>
        <w:bottom w:val="single" w:sz="6" w:space="2" w:color="C6A15B"/>
      </w:pBdr>
    </w:pPr>
    <w:r/>
    <w:r>
      <w:rPr>
        <w:rFonts w:ascii="Calibri" w:hAnsi="Calibri"/>
        <w:b w:val="0"/>
        <w:i w:val="0"/>
        <w:color w:val="556168"/>
        <w:sz w:val="16"/>
      </w:rPr>
      <w:t>Equator Resolution  |  Conflicts, Independence &amp; Award Quality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 w:line="269" w:lineRule="auto"/>
    </w:pPr>
    <w:rPr>
      <w:rFonts w:ascii="Calibri" w:hAnsi="Calibri"/>
      <w:color w:val="1B2A32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13" Type="http://schemas.openxmlformats.org/officeDocument/2006/relationships/customXml" Target="../customXml/item4.xml"/><Relationship Id="rId3" Type="http://schemas.openxmlformats.org/officeDocument/2006/relationships/styles" Target="styles.xml"/><Relationship Id="rId7" Type="http://schemas.openxmlformats.org/officeDocument/2006/relationships/fontTable" Target="fontTable.xml"/><Relationship Id="rId12" Type="http://schemas.openxmlformats.org/officeDocument/2006/relationships/customXml" Target="../customXml/item3.xml"/><Relationship Id="rId2" Type="http://schemas.openxmlformats.org/officeDocument/2006/relationships/numbering" Target="numbering.xml"/><Relationship Id="rId6" Type="http://schemas.openxmlformats.org/officeDocument/2006/relationships/webSettings" Target="webSettings.xml"/><Relationship Id="rId1" Type="http://schemas.openxmlformats.org/officeDocument/2006/relationships/customXml" Target="../customXml/item1.xml"/><Relationship Id="rId11" Type="http://schemas.openxmlformats.org/officeDocument/2006/relationships/customXml" Target="../customXml/item2.xml"/><Relationship Id="rId5" Type="http://schemas.openxmlformats.org/officeDocument/2006/relationships/settings" Target="settings.xml"/><Relationship Id="rId10" Type="http://schemas.openxmlformats.org/officeDocument/2006/relationships/footer" Target="footer1.xml"/><Relationship Id="rId4" Type="http://schemas.microsoft.com/office/2007/relationships/stylesWithEffects" Target="stylesWithEffects.xml"/><Relationship Id="rId9" Type="http://schemas.openxmlformats.org/officeDocument/2006/relationships/header" Target="head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2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53D5D88ED318E546B0BAD9611B3061C9" ma:contentTypeVersion="9" ma:contentTypeDescription="Create a new document." ma:contentTypeScope="" ma:versionID="d50db782a5ec69b02a0131a0f200a05c">
  <xsd:schema xmlns:xsd="http://www.w3.org/2001/XMLSchema" xmlns:xs="http://www.w3.org/2001/XMLSchema" xmlns:p="http://schemas.microsoft.com/office/2006/metadata/properties" xmlns:ns2="30dddea4-ca15-4972-99ca-320a89f10386" targetNamespace="http://schemas.microsoft.com/office/2006/metadata/properties" ma:root="true" ma:fieldsID="2e09d9990d161d2f2733b865e15bb167" ns2:_="">
    <xsd:import namespace="30dddea4-ca15-4972-99ca-320a89f10386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SearchProperties" minOccurs="0"/>
                <xsd:element ref="ns2:MediaServiceDateTaken" minOccurs="0"/>
                <xsd:element ref="ns2:lcf76f155ced4ddcb4097134ff3c332f" minOccurs="0"/>
                <xsd:element ref="ns2:MediaServiceOCR" minOccurs="0"/>
                <xsd:element ref="ns2:MediaServiceGenerationTime" minOccurs="0"/>
                <xsd:element ref="ns2:MediaServiceEventHashCode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30dddea4-ca15-4972-99ca-320a89f10386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0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DateTaken" ma:index="11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lcf76f155ced4ddcb4097134ff3c332f" ma:index="13" nillable="true" ma:taxonomy="true" ma:internalName="lcf76f155ced4ddcb4097134ff3c332f" ma:taxonomyFieldName="MediaServiceImageTags" ma:displayName="Image Tags" ma:fieldId="{5cf76f15-5ced-4ddc-b409-7134ff3c332f}" ma:taxonomyMulti="true" ma:sspId="00000000-0000-0000-0000-000000000000" ma:termSetId="00000000-0000-0000-0000-000000000000" ma:anchorId="00000000-0000-0000-0000-000000000000" ma:open="false" ma:isKeyword="false">
      <xsd:complexType>
        <xsd:sequence>
          <xsd:element ref="pc:Terms" minOccurs="0" maxOccurs="1"/>
        </xsd:sequence>
      </xsd:complexType>
    </xsd:element>
    <xsd:element name="MediaServiceOCR" ma:index="14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5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6" nillable="true" ma:displayName="MediaServiceEventHashCode" ma:hidden="true" ma:internalName="MediaServiceEventHashCode" ma:readOnly="true">
      <xsd:simpleType>
        <xsd:restriction base="dms:Text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3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4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lcf76f155ced4ddcb4097134ff3c332f xmlns="30dddea4-ca15-4972-99ca-320a89f10386">
      <Terms xmlns="http://schemas.microsoft.com/office/infopath/2007/PartnerControls"/>
    </lcf76f155ced4ddcb4097134ff3c332f>
  </documentManagement>
</p:properties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customXml/itemProps2.xml><?xml version="1.0" encoding="utf-8"?>
<ds:datastoreItem xmlns:ds="http://schemas.openxmlformats.org/officeDocument/2006/customXml" ds:itemID="{7F8F99A5-DBD0-4872-BA77-79D077D95F91}"/>
</file>

<file path=customXml/itemProps3.xml><?xml version="1.0" encoding="utf-8"?>
<ds:datastoreItem xmlns:ds="http://schemas.openxmlformats.org/officeDocument/2006/customXml" ds:itemID="{77C63004-9A1A-4912-922B-EBB51928F0AE}"/>
</file>

<file path=customXml/itemProps4.xml><?xml version="1.0" encoding="utf-8"?>
<ds:datastoreItem xmlns:ds="http://schemas.openxmlformats.org/officeDocument/2006/customXml" ds:itemID="{8B934577-FE45-4371-BA7A-4A7CE4610FB3}"/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0x01010053D5D88ED318E546B0BAD9611B3061C9</vt:lpwstr>
  </property>
</Properties>
</file>