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&amp; Business Dispute Resolution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Cross-Border &amp; International Arbitration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Seat, enforcement and the issues that arise when a party or the seat is foreign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Seat, Venue and Governing Laws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</w:t>
      </w:r>
      <w:r>
        <w:rPr>
          <w:rFonts w:ascii="Calibri" w:hAnsi="Calibri"/>
          <w:b/>
          <w:i w:val="0"/>
          <w:color w:val="1B2A32"/>
          <w:sz w:val="21"/>
        </w:rPr>
        <w:t>seat</w:t>
      </w:r>
      <w:r>
        <w:rPr>
          <w:rFonts w:ascii="Calibri" w:hAnsi="Calibri"/>
          <w:b w:val="0"/>
          <w:i w:val="0"/>
          <w:color w:val="1B2A32"/>
          <w:sz w:val="21"/>
        </w:rPr>
        <w:t xml:space="preserve"> fixes the legal home of the arbitration and the supervisory court and, for a foreign seat, takes the arbitration outside Part I of the Indian Act (BALCO). The </w:t>
      </w:r>
      <w:r>
        <w:rPr>
          <w:rFonts w:ascii="Calibri" w:hAnsi="Calibri"/>
          <w:b/>
          <w:i w:val="0"/>
          <w:color w:val="1B2A32"/>
          <w:sz w:val="21"/>
        </w:rPr>
        <w:t>venue</w:t>
      </w:r>
      <w:r>
        <w:rPr>
          <w:rFonts w:ascii="Calibri" w:hAnsi="Calibri"/>
          <w:b w:val="0"/>
          <w:i w:val="0"/>
          <w:color w:val="1B2A32"/>
          <w:sz w:val="21"/>
        </w:rPr>
        <w:t xml:space="preserve"> is merely where hearings are held. Three laws must be distinguished: the law governing the </w:t>
      </w:r>
      <w:r>
        <w:rPr>
          <w:rFonts w:ascii="Calibri" w:hAnsi="Calibri"/>
          <w:b/>
          <w:i w:val="0"/>
          <w:color w:val="1B2A32"/>
          <w:sz w:val="21"/>
        </w:rPr>
        <w:t>contract</w:t>
      </w:r>
      <w:r>
        <w:rPr>
          <w:rFonts w:ascii="Calibri" w:hAnsi="Calibri"/>
          <w:b w:val="0"/>
          <w:i w:val="0"/>
          <w:color w:val="1B2A32"/>
          <w:sz w:val="21"/>
        </w:rPr>
        <w:t xml:space="preserve">, the law governing the </w:t>
      </w:r>
      <w:r>
        <w:rPr>
          <w:rFonts w:ascii="Calibri" w:hAnsi="Calibri"/>
          <w:b/>
          <w:i w:val="0"/>
          <w:color w:val="1B2A32"/>
          <w:sz w:val="21"/>
        </w:rPr>
        <w:t>arbitration agreement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, and the </w:t>
      </w:r>
      <w:r>
        <w:rPr>
          <w:rFonts w:ascii="Calibri" w:hAnsi="Calibri"/>
          <w:b/>
          <w:i w:val="0"/>
          <w:color w:val="1B2A32"/>
          <w:sz w:val="21"/>
        </w:rPr>
        <w:t>curial</w:t>
      </w:r>
      <w:r>
        <w:rPr>
          <w:rFonts w:ascii="Calibri" w:hAnsi="Calibri"/>
          <w:b w:val="0"/>
          <w:i w:val="0"/>
          <w:color w:val="1B2A32"/>
          <w:sz w:val="21"/>
        </w:rPr>
        <w:t xml:space="preserve"> law (of the seat). Equator's clauses fix all of these expressly.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504"/>
      </w:tblGrid>
      <w:tr>
        <w:tc>
          <w:tcPr>
            <w:tcW w:type="dxa" w:w="9504"/>
            <w:shd w:val="clear" w:color="auto" w:fill="F5ECD6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C6A1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3B4F"/>
                <w:sz w:val="19"/>
              </w:rPr>
              <w:t>LEGAL BASIS</w:t>
            </w:r>
          </w:p>
          <w:p>
            <w:pPr>
              <w:jc w:val="both"/>
            </w:pPr>
            <w:r>
              <w:rPr>
                <w:rFonts w:ascii="Calibri" w:hAnsi="Calibri"/>
                <w:b/>
                <w:i w:val="0"/>
                <w:color w:val="1B2A32"/>
                <w:sz w:val="20"/>
              </w:rPr>
              <w:t>BALCO v. Kaiser Aluminium, (2012) 9 SCC 552</w:t>
            </w: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 xml:space="preserve"> (seat determines Part I/Part II); seat vs venue distinction; law of the arbitration agreement (BGS SGS Soma / Enka principles).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GIFT City / IFSC Arbitration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International Financial Services Centre (IFSC) at GIFT City hosts an international arbitration centre and a distinct regulatory regime (IFSCA). For IFSC-nexus and international parties, an IFSC seat can offer a streamlined, internationally-oriented forum; Equator can administer or partner for IFSC-seated matters.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Foreign Parties, Service and Language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Cross-border matters require careful identity/KYB verification of foreign entities, service by agreed electronic means, neutrals with international experience, English-language proceedings, and video hearings across time zones. Consider the group-of-companies doctrine where a non-signatory affiliate is involved (Cox &amp; Kings).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Enforcement of Foreign Awards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foreign award is enforced in India under </w:t>
      </w:r>
      <w:r>
        <w:rPr>
          <w:rFonts w:ascii="Calibri" w:hAnsi="Calibri"/>
          <w:b/>
          <w:i w:val="0"/>
          <w:color w:val="1B2A32"/>
          <w:sz w:val="21"/>
        </w:rPr>
        <w:t>Part II</w:t>
      </w:r>
      <w:r>
        <w:rPr>
          <w:rFonts w:ascii="Calibri" w:hAnsi="Calibri"/>
          <w:b w:val="0"/>
          <w:i w:val="0"/>
          <w:color w:val="1B2A32"/>
          <w:sz w:val="21"/>
        </w:rPr>
        <w:t xml:space="preserve"> of the Act, giving effect to the </w:t>
      </w:r>
      <w:r>
        <w:rPr>
          <w:rFonts w:ascii="Calibri" w:hAnsi="Calibri"/>
          <w:b/>
          <w:i w:val="0"/>
          <w:color w:val="1B2A32"/>
          <w:sz w:val="21"/>
        </w:rPr>
        <w:t>New York Convention</w:t>
      </w:r>
      <w:r>
        <w:rPr>
          <w:rFonts w:ascii="Calibri" w:hAnsi="Calibri"/>
          <w:b w:val="0"/>
          <w:i w:val="0"/>
          <w:color w:val="1B2A32"/>
          <w:sz w:val="21"/>
        </w:rPr>
        <w:t>: the award-holder files the award and the arbitration agreement (s.47), and the court enforces it unless a s.48 ground (incapacity, invalid agreement, due-process failure, excess of scope, composition/procedure, not binding/set aside at the seat, non-arbitrability, or public policy) is made out. Equator provides a foreign-award enforcement checklist (Form F-C16).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504"/>
      </w:tblGrid>
      <w:tr>
        <w:tc>
          <w:tcPr>
            <w:tcW w:type="dxa" w:w="9504"/>
            <w:shd w:val="clear" w:color="auto" w:fill="F5ECD6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C6A1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23B4F"/>
                <w:sz w:val="19"/>
              </w:rPr>
              <w:t>LEGAL BASIS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Part II, ss.44–52 (New York Convention); refusal grounds s.48; public-policy narrowly construed (Renusagar / Vijay Karia). Reciprocal-territory notification required.</w:t>
            </w:r>
          </w:p>
        </w:tc>
      </w:tr>
    </w:tbl>
    <w:p>
      <w:pPr>
        <w:spacing w:after="12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5.  Anti-Suit and Anti-Arbitration Injunctions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Where a party litigates in breach of an arbitration agreement, an </w:t>
      </w:r>
      <w:r>
        <w:rPr>
          <w:rFonts w:ascii="Calibri" w:hAnsi="Calibri"/>
          <w:b/>
          <w:i w:val="0"/>
          <w:color w:val="1B2A32"/>
          <w:sz w:val="21"/>
        </w:rPr>
        <w:t>anti-suit injunction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may restrain the foreign/domestic proceedings; conversely, </w:t>
      </w:r>
      <w:r>
        <w:rPr>
          <w:rFonts w:ascii="Calibri" w:hAnsi="Calibri"/>
          <w:b/>
          <w:i w:val="0"/>
          <w:color w:val="1B2A32"/>
          <w:sz w:val="21"/>
        </w:rPr>
        <w:t>anti-arbitration injunctions</w:t>
      </w:r>
      <w:r>
        <w:rPr>
          <w:rFonts w:ascii="Calibri" w:hAnsi="Calibri"/>
          <w:b w:val="0"/>
          <w:i w:val="0"/>
          <w:color w:val="1B2A32"/>
          <w:sz w:val="21"/>
        </w:rPr>
        <w:t xml:space="preserve"> are granted only sparingly. Equator flags these strategic tools for counsel; the tribunal's own jurisdiction (kompetenz-kompetenz) usually makes them unnecessary.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6.  Emergency Relief and the Singapore Convention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Emergency-arbitrator relief and s.9 court measures are available in cross-border matters. For </w:t>
      </w:r>
      <w:r>
        <w:rPr>
          <w:rFonts w:ascii="Calibri" w:hAnsi="Calibri"/>
          <w:b/>
          <w:i w:val="0"/>
          <w:color w:val="1B2A32"/>
          <w:sz w:val="21"/>
        </w:rPr>
        <w:t>mediated</w:t>
      </w:r>
      <w:r>
        <w:rPr>
          <w:rFonts w:ascii="Calibri" w:hAnsi="Calibri"/>
          <w:b w:val="0"/>
          <w:i w:val="0"/>
          <w:color w:val="1B2A32"/>
          <w:sz w:val="21"/>
        </w:rPr>
        <w:t xml:space="preserve"> cross-border settlements, the </w:t>
      </w:r>
      <w:r>
        <w:rPr>
          <w:rFonts w:ascii="Calibri" w:hAnsi="Calibri"/>
          <w:b/>
          <w:i w:val="0"/>
          <w:color w:val="1B2A32"/>
          <w:sz w:val="21"/>
        </w:rPr>
        <w:t>Singapore Convention on Mediation (2019)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provides a New-York-Convention-style enforcement framework; India has </w:t>
      </w:r>
      <w:r>
        <w:rPr>
          <w:rFonts w:ascii="Calibri" w:hAnsi="Calibri"/>
          <w:b/>
          <w:i w:val="0"/>
          <w:color w:val="1B2A32"/>
          <w:sz w:val="21"/>
        </w:rPr>
        <w:t>signed but not ratified</w:t>
      </w:r>
      <w:r>
        <w:rPr>
          <w:rFonts w:ascii="Calibri" w:hAnsi="Calibri"/>
          <w:b w:val="0"/>
          <w:i w:val="0"/>
          <w:color w:val="1B2A32"/>
          <w:sz w:val="21"/>
        </w:rPr>
        <w:t xml:space="preserve"> it, so Equator notes the current limits and structures international settlements to be enforceable under existing law.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7.  Investment (Treaty) Arbitration — a note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Disputes between a foreign investor and the State under a Bilateral Investment Treaty are a distinct field (ICSID/UNCITRAL, India's Model BIT). Equator's commercial vertical does not administer treaty arbitration but flags it where a State/State-entity and a treaty are in play, and can support the commercial-contract layer.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Cross-Border &amp; International Arbitration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146D58-5D01-4C94-9E07-A5C13436223F}"/>
</file>

<file path=customXml/itemProps3.xml><?xml version="1.0" encoding="utf-8"?>
<ds:datastoreItem xmlns:ds="http://schemas.openxmlformats.org/officeDocument/2006/customXml" ds:itemID="{ED100659-96DE-4E9D-88CC-83A33C05E13E}"/>
</file>

<file path=customXml/itemProps4.xml><?xml version="1.0" encoding="utf-8"?>
<ds:datastoreItem xmlns:ds="http://schemas.openxmlformats.org/officeDocument/2006/customXml" ds:itemID="{3B8606B3-2D67-4FBD-9346-1448195D7A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