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23B4F"/>
          <w:sz w:val="28"/>
        </w:rPr>
        <w:t>EQUATOR RESOLUTION</w:t>
      </w:r>
    </w:p>
    <w:p>
      <w:pPr>
        <w:spacing w:after="40"/>
        <w:jc w:val="center"/>
        <w:pBdr>
          <w:bottom w:val="single" w:sz="14" w:space="3" w:color="C6A15B"/>
        </w:pBdr>
      </w:pPr>
      <w:r>
        <w:rPr>
          <w:rFonts w:ascii="Calibri" w:hAnsi="Calibri"/>
          <w:b w:val="0"/>
          <w:i/>
          <w:color w:val="1E7A8C"/>
          <w:sz w:val="19"/>
        </w:rPr>
        <w:t>Commercial &amp; Business Dispute Resolution</w:t>
      </w:r>
    </w:p>
    <w:p>
      <w:pPr>
        <w:spacing w:before="160"/>
        <w:jc w:val="center"/>
      </w:pPr>
      <w:r>
        <w:rPr>
          <w:rFonts w:ascii="Calibri" w:hAnsi="Calibri"/>
          <w:b/>
          <w:i w:val="0"/>
          <w:color w:val="123B4F"/>
          <w:sz w:val="42"/>
        </w:rPr>
        <w:t>Expanded Model Clause Library</w:t>
      </w:r>
    </w:p>
    <w:p>
      <w:pPr>
        <w:spacing w:after="160"/>
        <w:jc w:val="center"/>
      </w:pPr>
      <w:r>
        <w:rPr>
          <w:rFonts w:ascii="Calibri" w:hAnsi="Calibri"/>
          <w:b w:val="0"/>
          <w:i/>
          <w:color w:val="556168"/>
          <w:sz w:val="23"/>
        </w:rPr>
        <w:t>Drafting variants for commercial contracts — adapt and have counsel settle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A — STANDARD ARBITRATION</w:t>
            </w:r>
          </w:p>
          <w:p>
            <w:pPr>
              <w:jc w:val="both"/>
            </w:pPr>
            <w:r>
              <w:rPr>
                <w:rFonts w:ascii="Calibri" w:hAnsi="Calibri"/>
                <w:b w:val="0"/>
                <w:i w:val="0"/>
                <w:color w:val="1B2A32"/>
                <w:sz w:val="20"/>
              </w:rPr>
              <w:t>Any dispute arising out of or in connection with this contract, including its existence, validity or termination, shall be referred to and finally resolved by arbitration administered by Equator Resolution under the Equator Rules of Arbitration. Seat: [city]. Language: [English]. Tribunal: [sole / three]. Governing law: [Indian law].</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B — TIERED (NEGOTIATION → MEDIATION → ARBITRATION)</w:t>
            </w:r>
          </w:p>
          <w:p>
            <w:pPr>
              <w:jc w:val="both"/>
            </w:pPr>
            <w:r>
              <w:rPr>
                <w:rFonts w:ascii="Calibri" w:hAnsi="Calibri"/>
                <w:b w:val="0"/>
                <w:i w:val="0"/>
                <w:color w:val="1B2A32"/>
                <w:sz w:val="20"/>
              </w:rPr>
              <w:t>The parties shall attempt to resolve any dispute by senior-management negotiation within [15] days, then by mediation under the Equator Mediation Rules within [30] days; any unresolved dispute shall be finally resolved by arbitration under the Equator Rules of Arbitration (as in A).</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 — EXPEDITED / LOW-VALUE</w:t>
            </w:r>
          </w:p>
          <w:p>
            <w:pPr>
              <w:jc w:val="both"/>
            </w:pPr>
            <w:r>
              <w:rPr>
                <w:rFonts w:ascii="Calibri" w:hAnsi="Calibri"/>
                <w:b w:val="0"/>
                <w:i w:val="0"/>
                <w:color w:val="1B2A32"/>
                <w:sz w:val="20"/>
              </w:rPr>
              <w:t>Where the amount in dispute does not exceed ₹[3] crore, the Expedited Procedure of the Equator Rules shall apply (sole arbitrator; documents-only or a single hearing; award within six months).</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D — EMERGENCY RELIEF PRESERVED</w:t>
            </w:r>
          </w:p>
          <w:p>
            <w:pPr>
              <w:jc w:val="both"/>
            </w:pPr>
            <w:r>
              <w:rPr>
                <w:rFonts w:ascii="Calibri" w:hAnsi="Calibri"/>
                <w:b w:val="0"/>
                <w:i w:val="0"/>
                <w:color w:val="1B2A32"/>
                <w:sz w:val="20"/>
              </w:rPr>
              <w:t>A party may apply for an emergency arbitrator under the Equator Rules and/or to a court for interim measures under Section 9 of the Arbitration &amp; Conciliation Act, 1996, without waiving arbitration.</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E — CONSTRUCTION / DISPUTE BOARD</w:t>
            </w:r>
          </w:p>
          <w:p>
            <w:pPr>
              <w:jc w:val="both"/>
            </w:pPr>
            <w:r>
              <w:rPr>
                <w:rFonts w:ascii="Calibri" w:hAnsi="Calibri"/>
                <w:b w:val="0"/>
                <w:i w:val="0"/>
                <w:color w:val="1B2A32"/>
                <w:sz w:val="20"/>
              </w:rPr>
              <w:t>Disputes shall first be referred to a standing Dispute Adjudication Board constituted under the Equator DB Procedure; a party dissatisfied with the Board's decision may refer the dispute to arbitration under the Equator Rules within [28] days.</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F — SHAREHOLDERS' / JV AGREEMENT</w:t>
            </w:r>
          </w:p>
          <w:p>
            <w:pPr>
              <w:jc w:val="both"/>
            </w:pPr>
            <w:r>
              <w:rPr>
                <w:rFonts w:ascii="Calibri" w:hAnsi="Calibri"/>
                <w:b w:val="0"/>
                <w:i w:val="0"/>
                <w:color w:val="1B2A32"/>
                <w:sz w:val="20"/>
              </w:rPr>
              <w:t>Any dispute under this Agreement shall be resolved by arbitration under the Equator Rules (seat [city]; three arbitrators for disputes over ₹[__] crore). This clause does not oust the jurisdiction of the NCLT over matters reserved to it by law.</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G — SUPPLY / PROCUREMENT (with MSME saving)</w:t>
            </w:r>
          </w:p>
          <w:p>
            <w:pPr>
              <w:jc w:val="both"/>
            </w:pPr>
            <w:r>
              <w:rPr>
                <w:rFonts w:ascii="Calibri" w:hAnsi="Calibri"/>
                <w:b w:val="0"/>
                <w:i w:val="0"/>
                <w:color w:val="1B2A32"/>
                <w:sz w:val="20"/>
              </w:rPr>
              <w:t>Disputes shall be resolved by arbitration under the Equator Rules. Nothing herein limits a micro or small enterprise supplier's statutory right under Section 18 of the MSMED Act, 2006.</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H — IT / SaaS (with confidentiality ring)</w:t>
            </w:r>
          </w:p>
          <w:p>
            <w:pPr>
              <w:jc w:val="both"/>
            </w:pPr>
            <w:r>
              <w:rPr>
                <w:rFonts w:ascii="Calibri" w:hAnsi="Calibri"/>
                <w:b w:val="0"/>
                <w:i w:val="0"/>
                <w:color w:val="1B2A32"/>
                <w:sz w:val="20"/>
              </w:rPr>
              <w:t>Disputes shall be resolved by expedited arbitration under the Equator Rules; the tribunal shall establish a confidentiality ring to protect source code, security information and trade secrets.</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I — CROSS-BORDER / INTERNATIONAL</w:t>
            </w:r>
          </w:p>
          <w:p>
            <w:pPr>
              <w:jc w:val="both"/>
            </w:pPr>
            <w:r>
              <w:rPr>
                <w:rFonts w:ascii="Calibri" w:hAnsi="Calibri"/>
                <w:b w:val="0"/>
                <w:i w:val="0"/>
                <w:color w:val="1B2A32"/>
                <w:sz w:val="20"/>
              </w:rPr>
              <w:t>Any dispute shall be finally resolved by arbitration administered by Equator Resolution under its Rules. Seat: [city / GIFT City IFSC]. The law governing the arbitration agreement is [Indian law]; the substantive law is [__]; the language is English. The parties waive any objection to enforcement under the New York Convention.</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J — MULTI-PARTY / MULTI-CONTRACT</w:t>
            </w:r>
          </w:p>
          <w:p>
            <w:pPr>
              <w:jc w:val="both"/>
            </w:pPr>
            <w:r>
              <w:rPr>
                <w:rFonts w:ascii="Calibri" w:hAnsi="Calibri"/>
                <w:b w:val="0"/>
                <w:i w:val="0"/>
                <w:color w:val="1B2A32"/>
                <w:sz w:val="20"/>
              </w:rPr>
              <w:t>The parties agree that arbitrations under this and related contracts may be consolidated, and additional parties joined, under the Equator Rules, where efficient and fair.</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K — GOVERNING LAW, SEAT &amp; CONFIDENTIALITY (companion)</w:t>
            </w:r>
          </w:p>
          <w:p>
            <w:pPr>
              <w:jc w:val="both"/>
            </w:pPr>
            <w:r>
              <w:rPr>
                <w:rFonts w:ascii="Calibri" w:hAnsi="Calibri"/>
                <w:b w:val="0"/>
                <w:i w:val="0"/>
                <w:color w:val="1B2A32"/>
                <w:sz w:val="20"/>
              </w:rPr>
              <w:t>This contract is governed by [Indian law]. The seat of any arbitration is [city]. The parties shall keep any arbitration/mediation and its outcome confidential save as required for enforcement or by law.</w:t>
            </w:r>
          </w:p>
        </w:tc>
      </w:tr>
    </w:tbl>
    <w:p>
      <w:pPr>
        <w:spacing w:after="12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These are templates, not advice. The seat, the law of the arbitration agreement, the number of arbitrators, and arbitrability must be settled by counsel for the specific contract; a defective clause can derail enforcement.</w:t>
            </w:r>
          </w:p>
        </w:tc>
      </w:tr>
    </w:tbl>
    <w:p>
      <w:pPr>
        <w:spacing w:after="120"/>
      </w:pPr>
    </w:p>
    <w:sectPr w:rsidR="00FC693F" w:rsidRPr="0006063C" w:rsidSect="00034616">
      <w:headerReference w:type="default" r:id="rId9"/>
      <w:footerReference w:type="default" r:id="rId10"/>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Expanded Model Clause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0C15C63-E3F4-4F5B-8A25-C7E17C0D85E4}"/>
</file>

<file path=customXml/itemProps3.xml><?xml version="1.0" encoding="utf-8"?>
<ds:datastoreItem xmlns:ds="http://schemas.openxmlformats.org/officeDocument/2006/customXml" ds:itemID="{221F5EDC-66A2-422E-A6C5-F59D986C450F}"/>
</file>

<file path=customXml/itemProps4.xml><?xml version="1.0" encoding="utf-8"?>
<ds:datastoreItem xmlns:ds="http://schemas.openxmlformats.org/officeDocument/2006/customXml" ds:itemID="{4A3BAF15-A76B-4CE6-8E61-C8616D6B0B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