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23B4F"/>
          <w:sz w:val="28"/>
        </w:rPr>
        <w:t>EQUATOR RESOLUTION</w:t>
      </w:r>
    </w:p>
    <w:p>
      <w:pPr>
        <w:spacing w:after="40"/>
        <w:jc w:val="center"/>
        <w:pBdr>
          <w:bottom w:val="single" w:sz="14" w:space="3" w:color="C6A15B"/>
        </w:pBdr>
      </w:pPr>
      <w:r>
        <w:rPr>
          <w:rFonts w:ascii="Calibri" w:hAnsi="Calibri"/>
          <w:b w:val="0"/>
          <w:i/>
          <w:color w:val="1E7A8C"/>
          <w:sz w:val="19"/>
        </w:rPr>
        <w:t>Commercial &amp; Business Dispute Resolution</w:t>
      </w:r>
    </w:p>
    <w:p>
      <w:pPr>
        <w:spacing w:before="160"/>
        <w:jc w:val="center"/>
      </w:pPr>
      <w:r>
        <w:rPr>
          <w:rFonts w:ascii="Calibri" w:hAnsi="Calibri"/>
          <w:b/>
          <w:i w:val="0"/>
          <w:color w:val="123B4F"/>
          <w:sz w:val="42"/>
        </w:rPr>
        <w:t>Jurisdiction Interface Map</w:t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556168"/>
          <w:sz w:val="23"/>
        </w:rPr>
        <w:t>How commercial ADR fits with the DRT, RERA, NCLT/IBC, consumer forums and the CCI</w:t>
      </w:r>
    </w:p>
    <w:p>
      <w:pPr>
        <w:spacing w:after="14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Some commercial matters are reserved to a special forum and are not arbitrable. Getting the forum right at intake avoids wasted time and limitation risk. The map below and the table set out the interfaces.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6814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11_jurisdiction_interf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0"/>
        <w:jc w:val="center"/>
      </w:pPr>
      <w:r>
        <w:rPr>
          <w:rFonts w:ascii="Calibri" w:hAnsi="Calibri"/>
          <w:b w:val="0"/>
          <w:i/>
          <w:color w:val="556168"/>
          <w:sz w:val="17"/>
        </w:rPr>
        <w:t>Figure — Forum interface map for commercial disputes.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4D0D6"/>
          <w:left w:val="single" w:sz="4" w:space="0" w:color="C4D0D6"/>
          <w:bottom w:val="single" w:sz="4" w:space="0" w:color="C4D0D6"/>
          <w:right w:val="single" w:sz="4" w:space="0" w:color="C4D0D6"/>
          <w:insideH w:val="single" w:sz="4" w:space="0" w:color="C4D0D6"/>
          <w:insideV w:val="single" w:sz="4" w:space="0" w:color="C4D0D6"/>
        </w:tblBorders>
      </w:tblPr>
      <w:tblGrid>
        <w:gridCol w:w="3168"/>
        <w:gridCol w:w="3168"/>
        <w:gridCol w:w="3168"/>
      </w:tblGrid>
      <w:tr>
        <w:trPr>
          <w:trHeight w:val="0"/>
        </w:trPr>
        <w:tc>
          <w:tcPr>
            <w:tcW w:type="dxa" w:w="1711"/>
            <w:shd w:val="clear" w:color="auto" w:fill="123B4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Forum</w:t>
            </w:r>
          </w:p>
        </w:tc>
        <w:tc>
          <w:tcPr>
            <w:tcW w:type="dxa" w:w="4372"/>
            <w:shd w:val="clear" w:color="auto" w:fill="123B4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Matters reserved to it</w:t>
            </w:r>
          </w:p>
        </w:tc>
        <w:tc>
          <w:tcPr>
            <w:tcW w:type="dxa" w:w="3421"/>
            <w:shd w:val="clear" w:color="auto" w:fill="123B4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Equator's approach</w:t>
            </w:r>
          </w:p>
        </w:tc>
      </w:tr>
      <w:tr>
        <w:trPr>
          <w:trHeight w:val="0"/>
        </w:trPr>
        <w:tc>
          <w:tcPr>
            <w:tcW w:type="dxa" w:w="171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DRT / SARFAESI</w:t>
            </w:r>
          </w:p>
        </w:tc>
        <w:tc>
          <w:tcPr>
            <w:tcW w:type="dxa" w:w="437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Recovery of secured debt by banks/FIs (RDDBFI Act; SARFAESI)</w:t>
            </w:r>
          </w:p>
        </w:tc>
        <w:tc>
          <w:tcPr>
            <w:tcW w:type="dxa" w:w="342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Screen out at intake; take arbitrable commercial-finance disputes (co-lending, fintech)</w:t>
            </w:r>
          </w:p>
        </w:tc>
      </w:tr>
      <w:tr>
        <w:trPr>
          <w:trHeight w:val="0"/>
        </w:trPr>
        <w:tc>
          <w:tcPr>
            <w:tcW w:type="dxa" w:w="1711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RERA</w:t>
            </w:r>
          </w:p>
        </w:tc>
        <w:tc>
          <w:tcPr>
            <w:tcW w:type="dxa" w:w="437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Homebuyer complaints; registered real-estate projects</w:t>
            </w:r>
          </w:p>
        </w:tc>
        <w:tc>
          <w:tcPr>
            <w:tcW w:type="dxa" w:w="3421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Route homebuyer matters to RERA; arbitrate B2B development/JDA and commercial leases</w:t>
            </w:r>
          </w:p>
        </w:tc>
      </w:tr>
      <w:tr>
        <w:trPr>
          <w:trHeight w:val="0"/>
        </w:trPr>
        <w:tc>
          <w:tcPr>
            <w:tcW w:type="dxa" w:w="171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NCLT / IBC</w:t>
            </w:r>
          </w:p>
        </w:tc>
        <w:tc>
          <w:tcPr>
            <w:tcW w:type="dxa" w:w="437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Insolvency; winding-up; oppression &amp; mismanagement (ss.241-242)</w:t>
            </w:r>
          </w:p>
        </w:tc>
        <w:tc>
          <w:tcPr>
            <w:tcW w:type="dxa" w:w="342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Non-arbitrable — route to NCLT; mediate the commercial reality; arbitrate the contractual layer</w:t>
            </w:r>
          </w:p>
        </w:tc>
      </w:tr>
      <w:tr>
        <w:trPr>
          <w:trHeight w:val="0"/>
        </w:trPr>
        <w:tc>
          <w:tcPr>
            <w:tcW w:type="dxa" w:w="1711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Consumer forums</w:t>
            </w:r>
          </w:p>
        </w:tc>
        <w:tc>
          <w:tcPr>
            <w:tcW w:type="dxa" w:w="437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Consumer (non-commercial) complaints</w:t>
            </w:r>
          </w:p>
        </w:tc>
        <w:tc>
          <w:tcPr>
            <w:tcW w:type="dxa" w:w="3421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Not arbitrable where a consumer elects the forum; commercial (B2B) disputes are arbitrable</w:t>
            </w:r>
          </w:p>
        </w:tc>
      </w:tr>
      <w:tr>
        <w:trPr>
          <w:trHeight w:val="0"/>
        </w:trPr>
        <w:tc>
          <w:tcPr>
            <w:tcW w:type="dxa" w:w="171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CCI</w:t>
            </w:r>
          </w:p>
        </w:tc>
        <w:tc>
          <w:tcPr>
            <w:tcW w:type="dxa" w:w="437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Competition / anti-trust; abuse of dominance</w:t>
            </w:r>
          </w:p>
        </w:tc>
        <w:tc>
          <w:tcPr>
            <w:tcW w:type="dxa" w:w="342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Reserved to the CCI/NCLAT; not arbitrable</w:t>
            </w:r>
          </w:p>
        </w:tc>
      </w:tr>
      <w:tr>
        <w:trPr>
          <w:trHeight w:val="0"/>
        </w:trPr>
        <w:tc>
          <w:tcPr>
            <w:tcW w:type="dxa" w:w="1711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Commercial Courts</w:t>
            </w:r>
          </w:p>
        </w:tc>
        <w:tc>
          <w:tcPr>
            <w:tcW w:type="dxa" w:w="437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Commercial suits (no clause) of specified value</w:t>
            </w:r>
          </w:p>
        </w:tc>
        <w:tc>
          <w:tcPr>
            <w:tcW w:type="dxa" w:w="3421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Mandatory s.12A mediation first; then suit; refer to arbitration under s.8 where a clause exists</w:t>
            </w:r>
          </w:p>
        </w:tc>
      </w:tr>
    </w:tbl>
    <w:p>
      <w:pPr>
        <w:spacing w:after="80"/>
      </w:pPr>
    </w:p>
    <w:p>
      <w:pPr>
        <w:spacing w:before="20" w:after="200"/>
        <w:jc w:val="center"/>
      </w:pPr>
      <w:r>
        <w:rPr>
          <w:rFonts w:ascii="Calibri" w:hAnsi="Calibri"/>
          <w:b w:val="0"/>
          <w:i/>
          <w:color w:val="556168"/>
          <w:sz w:val="17"/>
        </w:rPr>
        <w:t>Table — Forum interfaces and Equator's routing.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23A48"/>
          <w:left w:val="single" w:sz="4" w:space="0" w:color="B23A48"/>
          <w:bottom w:val="single" w:sz="4" w:space="0" w:color="B23A48"/>
          <w:right w:val="single" w:sz="4" w:space="0" w:color="B23A48"/>
          <w:insideH w:val="single" w:sz="4" w:space="0" w:color="B23A48"/>
          <w:insideV w:val="single" w:sz="4" w:space="0" w:color="B23A48"/>
        </w:tblBorders>
      </w:tblPr>
      <w:tblGrid>
        <w:gridCol w:w="9504"/>
      </w:tblGrid>
      <w:tr>
        <w:tc>
          <w:tcPr>
            <w:tcW w:type="dxa" w:w="9504"/>
            <w:shd w:val="clear" w:color="auto" w:fill="F6E0E4"/>
            <w:tcMar>
              <w:top w:w="90" w:type="dxa"/>
              <w:bottom w:w="90" w:type="dxa"/>
              <w:start w:w="140" w:type="dxa"/>
              <w:end w:w="140" w:type="dxa"/>
            </w:tcMar>
            <w:tcBorders>
              <w:start w:val="single" w:sz="26" w:space="0" w:color="B23A48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23A48"/>
                <w:sz w:val="19"/>
              </w:rPr>
              <w:t>RISK / CAUTION</w:t>
            </w:r>
          </w:p>
          <w:p>
            <w:pPr>
              <w:jc w:val="both"/>
            </w:pPr>
            <w:r>
              <w:rPr>
                <w:rFonts w:ascii="Calibri" w:hAnsi="Calibri"/>
                <w:b w:val="0"/>
                <w:i w:val="0"/>
                <w:color w:val="1B2A32"/>
                <w:sz w:val="20"/>
              </w:rPr>
              <w:t>Arbitrability and forum are litigated hard (Vidya Drolia; Emaar/Booz Allen). When in doubt, obtain the tribunal's or a court's view early rather than proceeding in the wrong forum.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10"/>
      <w:footerReference w:type="default" r:id="rId11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6"/>
      </w:rPr>
    </w:r>
    <w:r>
      <w:rPr>
        <w:rFonts w:ascii="Calibri" w:hAnsi="Calibri"/>
        <w:b w:val="0"/>
        <w:i w:val="0"/>
        <w:color w:val="556168"/>
        <w:sz w:val="16"/>
      </w:rPr>
      <w:t xml:space="preserve">Confidential — Infrabyx Group  ·  © 2026  ·  Page </w:t>
    </w:r>
    <w:r>
      <w:rPr>
        <w:rFonts w:ascii="Calibri" w:hAnsi="Calibri"/>
        <w:b w:val="0"/>
        <w:i w:val="0"/>
        <w:color w:val="556168"/>
        <w:sz w:val="16"/>
      </w:rPr>
      <w:fldChar w:fldCharType="begin"/>
    </w:r>
    <w:r>
      <w:rPr>
        <w:rFonts w:ascii="Calibri" w:hAnsi="Calibri"/>
        <w:b w:val="0"/>
        <w:i w:val="0"/>
        <w:color w:val="556168"/>
        <w:sz w:val="16"/>
      </w:rPr>
      <w:instrText xml:space="preserve">PAGE</w:instrText>
    </w:r>
    <w:r>
      <w:rPr>
        <w:rFonts w:ascii="Calibri" w:hAnsi="Calibri"/>
        <w:b w:val="0"/>
        <w:i w:val="0"/>
        <w:color w:val="556168"/>
        <w:sz w:val="16"/>
      </w:rPr>
      <w:fldChar w:fldCharType="end"/>
    </w:r>
    <w:r>
      <w:rPr>
        <w:rFonts w:ascii="Calibri" w:hAnsi="Calibri"/>
        <w:b w:val="0"/>
        <w:i w:val="0"/>
        <w:color w:val="556168"/>
        <w:sz w:val="16"/>
      </w:rPr>
      <w:t xml:space="preserve"> of </w:t>
    </w:r>
    <w:r>
      <w:rPr>
        <w:rFonts w:ascii="Calibri" w:hAnsi="Calibri"/>
        <w:b w:val="0"/>
        <w:i w:val="0"/>
        <w:color w:val="556168"/>
        <w:sz w:val="16"/>
      </w:rPr>
      <w:fldChar w:fldCharType="begin"/>
    </w:r>
    <w:r>
      <w:rPr>
        <w:rFonts w:ascii="Calibri" w:hAnsi="Calibri"/>
        <w:b w:val="0"/>
        <w:i w:val="0"/>
        <w:color w:val="556168"/>
        <w:sz w:val="16"/>
      </w:rPr>
      <w:instrText xml:space="preserve">NUMPAGES</w:instrText>
    </w:r>
    <w:r>
      <w:rPr>
        <w:rFonts w:ascii="Calibri" w:hAnsi="Calibri"/>
        <w:b w:val="0"/>
        <w:i w:val="0"/>
        <w:color w:val="55616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 |  Jurisdiction Interface 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9F057C4-20C7-420A-A8EE-97B1E9FD1D57}"/>
</file>

<file path=customXml/itemProps3.xml><?xml version="1.0" encoding="utf-8"?>
<ds:datastoreItem xmlns:ds="http://schemas.openxmlformats.org/officeDocument/2006/customXml" ds:itemID="{05202D5B-AAA7-436A-910E-3C28001D088C}"/>
</file>

<file path=customXml/itemProps4.xml><?xml version="1.0" encoding="utf-8"?>
<ds:datastoreItem xmlns:ds="http://schemas.openxmlformats.org/officeDocument/2006/customXml" ds:itemID="{865772ED-A975-4493-A85C-6D0B40DB309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