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23B4F"/>
          <w:sz w:val="28"/>
        </w:rPr>
        <w:t>EQUATOR RESOLUTION</w:t>
      </w:r>
    </w:p>
    <w:p>
      <w:pPr>
        <w:spacing w:after="40"/>
        <w:jc w:val="center"/>
        <w:pBdr>
          <w:bottom w:val="single" w:sz="14" w:space="3" w:color="C6A15B"/>
        </w:pBdr>
      </w:pPr>
      <w:r>
        <w:rPr>
          <w:rFonts w:ascii="Calibri" w:hAnsi="Calibri"/>
          <w:b w:val="0"/>
          <w:i/>
          <w:color w:val="1E7A8C"/>
          <w:sz w:val="19"/>
        </w:rPr>
        <w:t>Commercial &amp; Business Dispute Resolution</w:t>
      </w:r>
    </w:p>
    <w:p>
      <w:pPr>
        <w:spacing w:before="160"/>
        <w:jc w:val="center"/>
      </w:pPr>
      <w:r>
        <w:rPr>
          <w:rFonts w:ascii="Calibri" w:hAnsi="Calibri"/>
          <w:b/>
          <w:i w:val="0"/>
          <w:color w:val="123B4F"/>
          <w:sz w:val="42"/>
        </w:rPr>
        <w:t>Competitive Battlecard &amp; Pricing Benchmark</w:t>
      </w:r>
    </w:p>
    <w:p>
      <w:pPr>
        <w:spacing w:after="160"/>
        <w:jc w:val="center"/>
      </w:pPr>
      <w:r>
        <w:rPr>
          <w:rFonts w:ascii="Calibri" w:hAnsi="Calibri"/>
          <w:b w:val="0"/>
          <w:i/>
          <w:color w:val="556168"/>
          <w:sz w:val="23"/>
        </w:rPr>
        <w:t>How Equator positions against India's arbitral institutions</w:t>
      </w:r>
    </w:p>
    <w:p>
      <w:pPr>
        <w:keepNext/>
        <w:spacing w:before="320" w:after="140"/>
        <w:pBdr>
          <w:bottom w:val="single" w:sz="12" w:space="3" w:color="C6A15B"/>
        </w:pBdr>
      </w:pPr>
      <w:r>
        <w:rPr>
          <w:rFonts w:ascii="Calibri" w:hAnsi="Calibri"/>
          <w:b/>
          <w:i w:val="0"/>
          <w:color w:val="123B4F"/>
          <w:sz w:val="34"/>
        </w:rPr>
        <w:t>1.  The Institutional Landscape</w:t>
      </w:r>
    </w:p>
    <w:p>
      <w:pPr>
        <w:spacing w:after="140"/>
        <w:jc w:val="both"/>
      </w:pPr>
      <w:r>
        <w:rPr>
          <w:rFonts w:ascii="Calibri" w:hAnsi="Calibri"/>
          <w:b w:val="0"/>
          <w:i w:val="0"/>
          <w:color w:val="1B2A32"/>
          <w:sz w:val="21"/>
        </w:rPr>
        <w:t xml:space="preserve">India is shifting decisively from ad-hoc to </w:t>
      </w:r>
      <w:r>
        <w:rPr>
          <w:rFonts w:ascii="Calibri" w:hAnsi="Calibri"/>
          <w:b/>
          <w:i w:val="0"/>
          <w:color w:val="1B2A32"/>
          <w:sz w:val="21"/>
        </w:rPr>
        <w:t>institutional</w:t>
      </w:r>
      <w:r>
        <w:rPr>
          <w:rFonts w:ascii="Calibri" w:hAnsi="Calibri"/>
          <w:b w:val="0"/>
          <w:i w:val="0"/>
          <w:color w:val="1B2A32"/>
          <w:sz w:val="21"/>
        </w:rPr>
        <w:t xml:space="preserve"> arbitration, and the draft 2024 Amendment Bill would formalise this with an Arbitration Council of India grading regime. The established institutions are strong on credibility but vary in technology, speed and breadth. Equator's opening is to combine </w:t>
      </w:r>
      <w:r>
        <w:rPr>
          <w:rFonts w:ascii="Calibri" w:hAnsi="Calibri"/>
          <w:b/>
          <w:i w:val="0"/>
          <w:color w:val="1B2A32"/>
          <w:sz w:val="21"/>
        </w:rPr>
        <w:t>institutional credibility with a modern, AI-assisted, fully-online platform</w:t>
      </w:r>
      <w:r>
        <w:rPr>
          <w:rFonts w:ascii="Calibri" w:hAnsi="Calibri"/>
          <w:b w:val="0"/>
          <w:i w:val="0"/>
          <w:color w:val="1B2A32"/>
          <w:sz w:val="21"/>
        </w:rPr>
        <w:t xml:space="preserve"> and a </w:t>
      </w:r>
      <w:r>
        <w:rPr>
          <w:rFonts w:ascii="Calibri" w:hAnsi="Calibri"/>
          <w:b/>
          <w:i w:val="0"/>
          <w:color w:val="1B2A32"/>
          <w:sz w:val="21"/>
        </w:rPr>
        <w:t>multi-mechanism</w:t>
      </w:r>
      <w:r>
        <w:rPr>
          <w:rFonts w:ascii="Calibri" w:hAnsi="Calibri"/>
          <w:b w:val="0"/>
          <w:i w:val="0"/>
          <w:color w:val="1B2A32"/>
          <w:sz w:val="21"/>
        </w:rPr>
        <w:t xml:space="preserve"> offer (arbitration + mediation + MSME) that most incumbents do not provide together.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3168"/>
        <w:gridCol w:w="3168"/>
        <w:gridCol w:w="3168"/>
      </w:tblGrid>
      <w:tr>
        <w:trPr>
          <w:trHeight w:val="0"/>
        </w:trPr>
        <w:tc>
          <w:tcPr>
            <w:tcW w:type="dxa" w:w="1901"/>
            <w:shd w:val="clear" w:color="auto" w:fill="123B4F"/>
            <w:tcMar>
              <w:top w:w="60" w:type="dxa"/>
              <w:bottom w:w="60" w:type="dxa"/>
              <w:start w:w="110" w:type="dxa"/>
              <w:end w:w="110" w:type="dxa"/>
            </w:tcMar>
          </w:tcPr>
          <w:p>
            <w:pPr>
              <w:spacing w:after="0"/>
            </w:pPr>
            <w:r>
              <w:rPr>
                <w:rFonts w:ascii="Calibri" w:hAnsi="Calibri"/>
                <w:b/>
                <w:i w:val="0"/>
                <w:color w:val="FFFFFF"/>
                <w:sz w:val="17"/>
              </w:rPr>
              <w:t>Institution</w:t>
            </w:r>
          </w:p>
        </w:tc>
        <w:tc>
          <w:tcPr>
            <w:tcW w:type="dxa" w:w="2851"/>
            <w:shd w:val="clear" w:color="auto" w:fill="123B4F"/>
            <w:tcMar>
              <w:top w:w="60" w:type="dxa"/>
              <w:bottom w:w="60" w:type="dxa"/>
              <w:start w:w="110" w:type="dxa"/>
              <w:end w:w="110" w:type="dxa"/>
            </w:tcMar>
          </w:tcPr>
          <w:p>
            <w:pPr>
              <w:spacing w:after="0"/>
            </w:pPr>
            <w:r>
              <w:rPr>
                <w:rFonts w:ascii="Calibri" w:hAnsi="Calibri"/>
                <w:b/>
                <w:i w:val="0"/>
                <w:color w:val="FFFFFF"/>
                <w:sz w:val="17"/>
              </w:rPr>
              <w:t>Profile</w:t>
            </w:r>
          </w:p>
        </w:tc>
        <w:tc>
          <w:tcPr>
            <w:tcW w:type="dxa" w:w="4752"/>
            <w:shd w:val="clear" w:color="auto" w:fill="123B4F"/>
            <w:tcMar>
              <w:top w:w="60" w:type="dxa"/>
              <w:bottom w:w="60" w:type="dxa"/>
              <w:start w:w="110" w:type="dxa"/>
              <w:end w:w="110" w:type="dxa"/>
            </w:tcMar>
          </w:tcPr>
          <w:p>
            <w:pPr>
              <w:spacing w:after="0"/>
            </w:pPr>
            <w:r>
              <w:rPr>
                <w:rFonts w:ascii="Calibri" w:hAnsi="Calibri"/>
                <w:b/>
                <w:i w:val="0"/>
                <w:color w:val="FFFFFF"/>
                <w:sz w:val="17"/>
              </w:rPr>
              <w:t>Notable</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MCIA (Mumbai)</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India's leading centre; MCIA Rules 2025</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Premier reputation; ~91% of 2024 awards within 18 months, none set aside; 12-month award norm</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DIAC (Delhi)</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Delhi High Court's arbitration centre</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Court-annexed credibility; strong Delhi caseload</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IIAC (New Delhi)</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Statutory body (IIAC Act 2019); absorbed ICADR</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Government-backed; Conduct of Arbitration Regulations 2023; Chamber of Arbitration</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NPAC (Chennai)</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Nani Palkhivala Arbitration Centre; non-profit</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Respected; strong South-India presence &amp; training</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IAMC (Hyderabad)</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Court-annexed; registered trust</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Modern facilities; judiciary-supported</w:t>
            </w:r>
          </w:p>
        </w:tc>
      </w:tr>
      <w:tr>
        <w:trPr>
          <w:trHeight w:val="0"/>
        </w:trPr>
        <w:tc>
          <w:tcPr>
            <w:tcW w:type="dxa" w:w="190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ICA (New Delhi)</w:t>
            </w:r>
          </w:p>
        </w:tc>
        <w:tc>
          <w:tcPr>
            <w:tcW w:type="dxa" w:w="285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Indian Council of Arbitration; society</w:t>
            </w:r>
          </w:p>
        </w:tc>
        <w:tc>
          <w:tcPr>
            <w:tcW w:type="dxa" w:w="475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Long-established; trade/commodity focus</w:t>
            </w:r>
          </w:p>
        </w:tc>
      </w:tr>
      <w:tr>
        <w:trPr>
          <w:trHeight w:val="0"/>
        </w:trPr>
        <w:tc>
          <w:tcPr>
            <w:tcW w:type="dxa" w:w="1901"/>
            <w:tcMar>
              <w:top w:w="60" w:type="dxa"/>
              <w:bottom w:w="60" w:type="dxa"/>
              <w:start w:w="110" w:type="dxa"/>
              <w:end w:w="110" w:type="dxa"/>
            </w:tcMar>
          </w:tcPr>
          <w:p>
            <w:pPr>
              <w:spacing w:after="0"/>
              <w:jc w:val="left"/>
            </w:pPr>
            <w:r>
              <w:rPr>
                <w:rFonts w:ascii="Calibri" w:hAnsi="Calibri"/>
                <w:b w:val="0"/>
                <w:i w:val="0"/>
                <w:color w:val="1B2A32"/>
                <w:sz w:val="17"/>
              </w:rPr>
              <w:t>SIAC / LCIA (international)</w:t>
            </w:r>
          </w:p>
        </w:tc>
        <w:tc>
          <w:tcPr>
            <w:tcW w:type="dxa" w:w="2851"/>
            <w:tcMar>
              <w:top w:w="60" w:type="dxa"/>
              <w:bottom w:w="60" w:type="dxa"/>
              <w:start w:w="110" w:type="dxa"/>
              <w:end w:w="110" w:type="dxa"/>
            </w:tcMar>
          </w:tcPr>
          <w:p>
            <w:pPr>
              <w:spacing w:after="0"/>
              <w:jc w:val="left"/>
            </w:pPr>
            <w:r>
              <w:rPr>
                <w:rFonts w:ascii="Calibri" w:hAnsi="Calibri"/>
                <w:b w:val="0"/>
                <w:i w:val="0"/>
                <w:color w:val="1B2A32"/>
                <w:sz w:val="17"/>
              </w:rPr>
              <w:t>Global institutions with India traffic</w:t>
            </w:r>
          </w:p>
        </w:tc>
        <w:tc>
          <w:tcPr>
            <w:tcW w:type="dxa" w:w="4752"/>
            <w:tcMar>
              <w:top w:w="60" w:type="dxa"/>
              <w:bottom w:w="60" w:type="dxa"/>
              <w:start w:w="110" w:type="dxa"/>
              <w:end w:w="110" w:type="dxa"/>
            </w:tcMar>
          </w:tcPr>
          <w:p>
            <w:pPr>
              <w:spacing w:after="0"/>
              <w:jc w:val="left"/>
            </w:pPr>
            <w:r>
              <w:rPr>
                <w:rFonts w:ascii="Calibri" w:hAnsi="Calibri"/>
                <w:b w:val="0"/>
                <w:i w:val="0"/>
                <w:color w:val="1B2A32"/>
                <w:sz w:val="17"/>
              </w:rPr>
              <w:t>Premium international brand; higher cost; foreign seat</w:t>
            </w:r>
          </w:p>
        </w:tc>
      </w:tr>
    </w:tbl>
    <w:p>
      <w:pPr>
        <w:spacing w:after="80"/>
      </w:pPr>
    </w:p>
    <w:p>
      <w:pPr>
        <w:spacing w:before="20" w:after="200"/>
        <w:jc w:val="center"/>
      </w:pPr>
      <w:r>
        <w:rPr>
          <w:rFonts w:ascii="Calibri" w:hAnsi="Calibri"/>
          <w:b w:val="0"/>
          <w:i/>
          <w:color w:val="556168"/>
          <w:sz w:val="17"/>
        </w:rPr>
        <w:t>Table — India's principal arbitral institutions (as at 2025).</w:t>
      </w:r>
    </w:p>
    <w:tbl>
      <w:tblPr>
        <w:tblW w:type="auto" w:w="0"/>
        <w:jc w:val="center"/>
        <w:tblLayout w:type="fixed"/>
        <w:tblLook w:firstColumn="1" w:firstRow="1" w:lastColumn="0" w:lastRow="0" w:noHBand="0" w:noVBand="1" w:val="04A0"/>
        <w:tblBorders>
          <w:top w:val="single" w:sz="4" w:space="0" w:color="B23A48"/>
          <w:left w:val="single" w:sz="4" w:space="0" w:color="B23A48"/>
          <w:bottom w:val="single" w:sz="4" w:space="0" w:color="B23A48"/>
          <w:right w:val="single" w:sz="4" w:space="0" w:color="B23A48"/>
          <w:insideH w:val="single" w:sz="4" w:space="0" w:color="B23A48"/>
          <w:insideV w:val="single" w:sz="4" w:space="0" w:color="B23A48"/>
        </w:tblBorders>
      </w:tblPr>
      <w:tblGrid>
        <w:gridCol w:w="9504"/>
      </w:tblGrid>
      <w:tr>
        <w:tc>
          <w:tcPr>
            <w:tcW w:type="dxa" w:w="9504"/>
            <w:shd w:val="clear" w:color="auto" w:fill="F6E0E4"/>
            <w:tcMar>
              <w:top w:w="90" w:type="dxa"/>
              <w:bottom w:w="90" w:type="dxa"/>
              <w:start w:w="140" w:type="dxa"/>
              <w:end w:w="140" w:type="dxa"/>
            </w:tcMar>
            <w:tcBorders>
              <w:start w:val="single" w:sz="26" w:space="0" w:color="B23A48"/>
            </w:tcBorders>
          </w:tcPr>
          <w:p>
            <w:pPr>
              <w:spacing w:after="40"/>
            </w:pPr>
            <w:r>
              <w:rPr>
                <w:rFonts w:ascii="Calibri" w:hAnsi="Calibri"/>
                <w:b/>
                <w:i w:val="0"/>
                <w:color w:val="B23A48"/>
                <w:sz w:val="19"/>
              </w:rPr>
              <w:t>RISK / CAUTION</w:t>
            </w:r>
          </w:p>
          <w:p>
            <w:pPr>
              <w:jc w:val="both"/>
            </w:pPr>
            <w:r>
              <w:rPr>
                <w:rFonts w:ascii="Calibri" w:hAnsi="Calibri"/>
                <w:b w:val="0"/>
                <w:i w:val="0"/>
                <w:color w:val="1B2A32"/>
                <w:sz w:val="20"/>
              </w:rPr>
              <w:t>Positioning is qualitative and current as at July 2026; verify each institution's current rules, caseload and fees from its published materials before external use.</w:t>
            </w:r>
          </w:p>
        </w:tc>
      </w:tr>
    </w:tbl>
    <w:p>
      <w:pPr>
        <w:spacing w:after="120"/>
      </w:pPr>
    </w:p>
    <w:p>
      <w:pPr>
        <w:keepNext/>
        <w:spacing w:before="320" w:after="140"/>
        <w:pBdr>
          <w:bottom w:val="single" w:sz="12" w:space="3" w:color="C6A15B"/>
        </w:pBdr>
      </w:pPr>
      <w:r>
        <w:rPr>
          <w:rFonts w:ascii="Calibri" w:hAnsi="Calibri"/>
          <w:b/>
          <w:i w:val="0"/>
          <w:color w:val="123B4F"/>
          <w:sz w:val="34"/>
        </w:rPr>
        <w:t>2.  Where Equator Wins</w:t>
      </w:r>
    </w:p>
    <w:p>
      <w:pPr>
        <w:pStyle w:val="ListBullet"/>
        <w:spacing w:after="60"/>
        <w:jc w:val="both"/>
      </w:pPr>
      <w:r>
        <w:rPr>
          <w:rFonts w:ascii="Calibri" w:hAnsi="Calibri"/>
          <w:b/>
          <w:i w:val="0"/>
          <w:color w:val="123B4F"/>
          <w:sz w:val="21"/>
        </w:rPr>
        <w:t xml:space="preserve">Multi-mechanism, one platform: </w:t>
      </w:r>
      <w:r>
        <w:rPr>
          <w:rFonts w:ascii="Calibri" w:hAnsi="Calibri"/>
          <w:b w:val="0"/>
          <w:i w:val="0"/>
          <w:color w:val="1B2A32"/>
          <w:sz w:val="21"/>
        </w:rPr>
        <w:t>Arbitration + mediation (incl. mandatory s.12A) + MSME Samadhaan under one roof — most incumbents are arbitration-only.</w:t>
      </w:r>
    </w:p>
    <w:p>
      <w:pPr>
        <w:pStyle w:val="ListBullet"/>
        <w:spacing w:after="60"/>
        <w:jc w:val="both"/>
      </w:pPr>
      <w:r>
        <w:rPr>
          <w:rFonts w:ascii="Calibri" w:hAnsi="Calibri"/>
          <w:b/>
          <w:i w:val="0"/>
          <w:color w:val="123B4F"/>
          <w:sz w:val="21"/>
        </w:rPr>
        <w:t xml:space="preserve">Technology-first &amp; fully online: </w:t>
      </w:r>
      <w:r>
        <w:rPr>
          <w:rFonts w:ascii="Calibri" w:hAnsi="Calibri"/>
          <w:b w:val="0"/>
          <w:i w:val="0"/>
          <w:color w:val="1B2A32"/>
          <w:sz w:val="21"/>
        </w:rPr>
        <w:t>AI Dispute Explorer (mechanism recommender, arbitrability check, drafting), ODR, e-Sign, e-Stamp — a modern build, not a retrofitted one.</w:t>
      </w:r>
    </w:p>
    <w:p>
      <w:pPr>
        <w:pStyle w:val="ListBullet"/>
        <w:spacing w:after="60"/>
        <w:jc w:val="both"/>
      </w:pPr>
      <w:r>
        <w:rPr>
          <w:rFonts w:ascii="Calibri" w:hAnsi="Calibri"/>
          <w:b/>
          <w:i w:val="0"/>
          <w:color w:val="123B4F"/>
          <w:sz w:val="21"/>
        </w:rPr>
        <w:t xml:space="preserve">Speed by design: </w:t>
      </w:r>
      <w:r>
        <w:rPr>
          <w:rFonts w:ascii="Calibri" w:hAnsi="Calibri"/>
          <w:b w:val="0"/>
          <w:i w:val="0"/>
          <w:color w:val="1B2A32"/>
          <w:sz w:val="21"/>
        </w:rPr>
        <w:t>Statutory clock, expedited &amp; emergency tracks, and award scrutiny to keep set-aside rates low.</w:t>
      </w:r>
    </w:p>
    <w:p>
      <w:pPr>
        <w:pStyle w:val="ListBullet"/>
        <w:spacing w:after="60"/>
        <w:jc w:val="both"/>
      </w:pPr>
      <w:r>
        <w:rPr>
          <w:rFonts w:ascii="Calibri" w:hAnsi="Calibri"/>
          <w:b/>
          <w:i w:val="0"/>
          <w:color w:val="123B4F"/>
          <w:sz w:val="21"/>
        </w:rPr>
        <w:t xml:space="preserve">Escrow-secured outcomes: </w:t>
      </w:r>
      <w:r>
        <w:rPr>
          <w:rFonts w:ascii="Calibri" w:hAnsi="Calibri"/>
          <w:b w:val="0"/>
          <w:i w:val="0"/>
          <w:color w:val="1B2A32"/>
          <w:sz w:val="21"/>
        </w:rPr>
        <w:t>Award/settlement sums secured and released on compliance — a trust feature incumbents rarely offer.</w:t>
      </w:r>
    </w:p>
    <w:p>
      <w:pPr>
        <w:pStyle w:val="ListBullet"/>
        <w:spacing w:after="60"/>
        <w:jc w:val="both"/>
      </w:pPr>
      <w:r>
        <w:rPr>
          <w:rFonts w:ascii="Calibri" w:hAnsi="Calibri"/>
          <w:b/>
          <w:i w:val="0"/>
          <w:color w:val="123B4F"/>
          <w:sz w:val="21"/>
        </w:rPr>
        <w:t xml:space="preserve">MSME &amp; mid-market reach: </w:t>
      </w:r>
      <w:r>
        <w:rPr>
          <w:rFonts w:ascii="Calibri" w:hAnsi="Calibri"/>
          <w:b w:val="0"/>
          <w:i w:val="0"/>
          <w:color w:val="1B2A32"/>
          <w:sz w:val="21"/>
        </w:rPr>
        <w:t>A concessional MSME track and an ad valorem tariff that serves the under-served mid-market, not only large corporates.</w:t>
      </w:r>
    </w:p>
    <w:p>
      <w:pPr>
        <w:pStyle w:val="ListBullet"/>
        <w:spacing w:after="60"/>
        <w:jc w:val="both"/>
      </w:pPr>
      <w:r>
        <w:rPr>
          <w:rFonts w:ascii="Calibri" w:hAnsi="Calibri"/>
          <w:b/>
          <w:i w:val="0"/>
          <w:color w:val="123B4F"/>
          <w:sz w:val="21"/>
        </w:rPr>
        <w:t xml:space="preserve">Grading-ready: </w:t>
      </w:r>
      <w:r>
        <w:rPr>
          <w:rFonts w:ascii="Calibri" w:hAnsi="Calibri"/>
          <w:b w:val="0"/>
          <w:i w:val="0"/>
          <w:color w:val="1B2A32"/>
          <w:sz w:val="21"/>
        </w:rPr>
        <w:t>Built to the standard the Arbitration Council of India will grade, from day one.</w:t>
      </w:r>
    </w:p>
    <w:p>
      <w:pPr>
        <w:spacing w:after="40"/>
      </w:pPr>
    </w:p>
    <w:p>
      <w:pPr>
        <w:keepNext/>
        <w:spacing w:before="320" w:after="140"/>
        <w:pBdr>
          <w:bottom w:val="single" w:sz="12" w:space="3" w:color="C6A15B"/>
        </w:pBdr>
      </w:pPr>
      <w:r>
        <w:rPr>
          <w:rFonts w:ascii="Calibri" w:hAnsi="Calibri"/>
          <w:b/>
          <w:i w:val="0"/>
          <w:color w:val="123B4F"/>
          <w:sz w:val="34"/>
        </w:rPr>
        <w:t>3.  Where Incumbents Are Strong (and Equator's Answer)</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4752"/>
        <w:gridCol w:w="4752"/>
      </w:tblGrid>
      <w:tr>
        <w:trPr>
          <w:trHeight w:val="0"/>
        </w:trPr>
        <w:tc>
          <w:tcPr>
            <w:tcW w:type="dxa" w:w="3992"/>
            <w:shd w:val="clear" w:color="auto" w:fill="123B4F"/>
            <w:tcMar>
              <w:top w:w="60" w:type="dxa"/>
              <w:bottom w:w="60" w:type="dxa"/>
              <w:start w:w="110" w:type="dxa"/>
              <w:end w:w="110" w:type="dxa"/>
            </w:tcMar>
          </w:tcPr>
          <w:p>
            <w:pPr>
              <w:spacing w:after="0"/>
            </w:pPr>
            <w:r>
              <w:rPr>
                <w:rFonts w:ascii="Calibri" w:hAnsi="Calibri"/>
                <w:b/>
                <w:i w:val="0"/>
                <w:color w:val="FFFFFF"/>
                <w:sz w:val="17"/>
              </w:rPr>
              <w:t>Incumbent strength</w:t>
            </w:r>
          </w:p>
        </w:tc>
        <w:tc>
          <w:tcPr>
            <w:tcW w:type="dxa" w:w="5512"/>
            <w:shd w:val="clear" w:color="auto" w:fill="123B4F"/>
            <w:tcMar>
              <w:top w:w="60" w:type="dxa"/>
              <w:bottom w:w="60" w:type="dxa"/>
              <w:start w:w="110" w:type="dxa"/>
              <w:end w:w="110" w:type="dxa"/>
            </w:tcMar>
          </w:tcPr>
          <w:p>
            <w:pPr>
              <w:spacing w:after="0"/>
            </w:pPr>
            <w:r>
              <w:rPr>
                <w:rFonts w:ascii="Calibri" w:hAnsi="Calibri"/>
                <w:b/>
                <w:i w:val="0"/>
                <w:color w:val="FFFFFF"/>
                <w:sz w:val="17"/>
              </w:rPr>
              <w:t>Equator's answer</w:t>
            </w:r>
          </w:p>
        </w:tc>
      </w:tr>
      <w:tr>
        <w:trPr>
          <w:trHeight w:val="0"/>
        </w:trPr>
        <w:tc>
          <w:tcPr>
            <w:tcW w:type="dxa" w:w="3992"/>
            <w:tcMar>
              <w:top w:w="60" w:type="dxa"/>
              <w:bottom w:w="60" w:type="dxa"/>
              <w:start w:w="110" w:type="dxa"/>
              <w:end w:w="110" w:type="dxa"/>
            </w:tcMar>
          </w:tcPr>
          <w:p>
            <w:pPr>
              <w:spacing w:after="0"/>
              <w:jc w:val="left"/>
            </w:pPr>
            <w:r>
              <w:rPr>
                <w:rFonts w:ascii="Calibri" w:hAnsi="Calibri"/>
                <w:b w:val="0"/>
                <w:i w:val="0"/>
                <w:color w:val="1B2A32"/>
                <w:sz w:val="17"/>
              </w:rPr>
              <w:t>Established brand &amp; track record</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Publish anonymised outcomes and a rules commentary; recruit marquee neutrals; seek ACI grading early</w:t>
            </w:r>
          </w:p>
        </w:tc>
      </w:tr>
      <w:tr>
        <w:trPr>
          <w:trHeight w:val="0"/>
        </w:trPr>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Court-annexed credibility (DIAC/IAMC)</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Pursue court-referral MoUs (s.8/s.11/s.12A) and Family/Commercial-court partnerships</w:t>
            </w:r>
          </w:p>
        </w:tc>
      </w:tr>
      <w:tr>
        <w:trPr>
          <w:trHeight w:val="0"/>
        </w:trPr>
        <w:tc>
          <w:tcPr>
            <w:tcW w:type="dxa" w:w="3992"/>
            <w:tcMar>
              <w:top w:w="60" w:type="dxa"/>
              <w:bottom w:w="60" w:type="dxa"/>
              <w:start w:w="110" w:type="dxa"/>
              <w:end w:w="110" w:type="dxa"/>
            </w:tcMar>
          </w:tcPr>
          <w:p>
            <w:pPr>
              <w:spacing w:after="0"/>
              <w:jc w:val="left"/>
            </w:pPr>
            <w:r>
              <w:rPr>
                <w:rFonts w:ascii="Calibri" w:hAnsi="Calibri"/>
                <w:b w:val="0"/>
                <w:i w:val="0"/>
                <w:color w:val="1B2A32"/>
                <w:sz w:val="17"/>
              </w:rPr>
              <w:t>Marquee arbitrator panels</w:t>
            </w:r>
          </w:p>
        </w:tc>
        <w:tc>
          <w:tcPr>
            <w:tcW w:type="dxa" w:w="5512"/>
            <w:tcMar>
              <w:top w:w="60" w:type="dxa"/>
              <w:bottom w:w="60" w:type="dxa"/>
              <w:start w:w="110" w:type="dxa"/>
              <w:end w:w="110" w:type="dxa"/>
            </w:tcMar>
          </w:tcPr>
          <w:p>
            <w:pPr>
              <w:spacing w:after="0"/>
              <w:jc w:val="left"/>
            </w:pPr>
            <w:r>
              <w:rPr>
                <w:rFonts w:ascii="Calibri" w:hAnsi="Calibri"/>
                <w:b w:val="0"/>
                <w:i w:val="0"/>
                <w:color w:val="1B2A32"/>
                <w:sz w:val="17"/>
              </w:rPr>
              <w:t>Empanel former judges &amp; senior advocates; competitive, transparent grading</w:t>
            </w:r>
          </w:p>
        </w:tc>
      </w:tr>
      <w:tr>
        <w:trPr>
          <w:trHeight w:val="0"/>
        </w:trPr>
        <w:tc>
          <w:tcPr>
            <w:tcW w:type="dxa" w:w="399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International reach (SIAC/LCIA)</w:t>
            </w:r>
          </w:p>
        </w:tc>
        <w:tc>
          <w:tcPr>
            <w:tcW w:type="dxa" w:w="5512"/>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Offer GIFT-City/IFSC-seated and New-York-Convention-ready international arbitration; partner where useful</w:t>
            </w:r>
          </w:p>
        </w:tc>
      </w:tr>
    </w:tbl>
    <w:p>
      <w:pPr>
        <w:spacing w:after="80"/>
      </w:pPr>
    </w:p>
    <w:p>
      <w:pPr>
        <w:spacing w:before="20" w:after="200"/>
        <w:jc w:val="center"/>
      </w:pPr>
      <w:r>
        <w:rPr>
          <w:rFonts w:ascii="Calibri" w:hAnsi="Calibri"/>
          <w:b w:val="0"/>
          <w:i/>
          <w:color w:val="556168"/>
          <w:sz w:val="17"/>
        </w:rPr>
        <w:t>Table — Neutralising incumbent strengths.</w:t>
      </w:r>
    </w:p>
    <w:p>
      <w:pPr>
        <w:keepNext/>
        <w:spacing w:before="320" w:after="140"/>
        <w:pBdr>
          <w:bottom w:val="single" w:sz="12" w:space="3" w:color="C6A15B"/>
        </w:pBdr>
      </w:pPr>
      <w:r>
        <w:rPr>
          <w:rFonts w:ascii="Calibri" w:hAnsi="Calibri"/>
          <w:b/>
          <w:i w:val="0"/>
          <w:color w:val="123B4F"/>
          <w:sz w:val="34"/>
        </w:rPr>
        <w:t>4.  Pricing Benchmark (template)</w:t>
      </w:r>
    </w:p>
    <w:p>
      <w:pPr>
        <w:spacing w:after="140"/>
        <w:jc w:val="both"/>
      </w:pPr>
      <w:r>
        <w:rPr>
          <w:rFonts w:ascii="Calibri" w:hAnsi="Calibri"/>
          <w:b w:val="0"/>
          <w:i w:val="0"/>
          <w:color w:val="1B2A32"/>
          <w:sz w:val="21"/>
        </w:rPr>
        <w:t xml:space="preserve">Most Indian institutions charge an </w:t>
      </w:r>
      <w:r>
        <w:rPr>
          <w:rFonts w:ascii="Calibri" w:hAnsi="Calibri"/>
          <w:b/>
          <w:i w:val="0"/>
          <w:color w:val="1B2A32"/>
          <w:sz w:val="21"/>
        </w:rPr>
        <w:t>ad valorem administration fee</w:t>
      </w:r>
      <w:r>
        <w:rPr>
          <w:rFonts w:ascii="Calibri" w:hAnsi="Calibri"/>
          <w:b w:val="0"/>
          <w:i w:val="0"/>
          <w:color w:val="1B2A32"/>
          <w:sz w:val="21"/>
        </w:rPr>
        <w:t xml:space="preserve"> plus an arbitrator fee (often modelled on the Fourth Schedule to the Act). Equator's tariff is designed to be </w:t>
      </w:r>
      <w:r>
        <w:rPr>
          <w:rFonts w:ascii="Calibri" w:hAnsi="Calibri"/>
          <w:b/>
          <w:i w:val="0"/>
          <w:color w:val="1B2A32"/>
          <w:sz w:val="21"/>
        </w:rPr>
        <w:t>transparent and competitive</w:t>
      </w:r>
      <w:r>
        <w:rPr>
          <w:rFonts w:ascii="Calibri" w:hAnsi="Calibri"/>
          <w:b w:val="0"/>
          <w:i w:val="0"/>
          <w:color w:val="1B2A32"/>
          <w:sz w:val="21"/>
        </w:rPr>
        <w:t>, with an instant online estimate and MSME concessions. Populate the table from each institution's published schedule before use.</w:t>
      </w:r>
    </w:p>
    <w:tbl>
      <w:tblPr>
        <w:tblW w:type="auto" w:w="0"/>
        <w:jc w:val="center"/>
        <w:tblLayout w:type="fixed"/>
        <w:tblLook w:firstColumn="1" w:firstRow="1" w:lastColumn="0" w:lastRow="0" w:noHBand="0" w:noVBand="1" w:val="04A0"/>
        <w:tblBorders>
          <w:top w:val="single" w:sz="4" w:space="0" w:color="C4D0D6"/>
          <w:left w:val="single" w:sz="4" w:space="0" w:color="C4D0D6"/>
          <w:bottom w:val="single" w:sz="4" w:space="0" w:color="C4D0D6"/>
          <w:right w:val="single" w:sz="4" w:space="0" w:color="C4D0D6"/>
          <w:insideH w:val="single" w:sz="4" w:space="0" w:color="C4D0D6"/>
          <w:insideV w:val="single" w:sz="4" w:space="0" w:color="C4D0D6"/>
        </w:tblBorders>
      </w:tblPr>
      <w:tblGrid>
        <w:gridCol w:w="2376"/>
        <w:gridCol w:w="2376"/>
        <w:gridCol w:w="2376"/>
        <w:gridCol w:w="2376"/>
      </w:tblGrid>
      <w:tr>
        <w:trPr>
          <w:trHeight w:val="0"/>
        </w:trPr>
        <w:tc>
          <w:tcPr>
            <w:tcW w:type="dxa" w:w="1521"/>
            <w:shd w:val="clear" w:color="auto" w:fill="123B4F"/>
            <w:tcMar>
              <w:top w:w="60" w:type="dxa"/>
              <w:bottom w:w="60" w:type="dxa"/>
              <w:start w:w="110" w:type="dxa"/>
              <w:end w:w="110" w:type="dxa"/>
            </w:tcMar>
          </w:tcPr>
          <w:p>
            <w:pPr>
              <w:spacing w:after="0"/>
            </w:pPr>
            <w:r>
              <w:rPr>
                <w:rFonts w:ascii="Calibri" w:hAnsi="Calibri"/>
                <w:b/>
                <w:i w:val="0"/>
                <w:color w:val="FFFFFF"/>
                <w:sz w:val="17"/>
              </w:rPr>
              <w:t>Institution</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Administration fee basis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Arbitrator fee basis</w:t>
            </w:r>
          </w:p>
        </w:tc>
        <w:tc>
          <w:tcPr>
            <w:tcW w:type="dxa" w:w="2661"/>
            <w:shd w:val="clear" w:color="auto" w:fill="123B4F"/>
            <w:tcMar>
              <w:top w:w="60" w:type="dxa"/>
              <w:bottom w:w="60" w:type="dxa"/>
              <w:start w:w="110" w:type="dxa"/>
              <w:end w:w="110" w:type="dxa"/>
            </w:tcMar>
          </w:tcPr>
          <w:p>
            <w:pPr>
              <w:spacing w:after="0"/>
            </w:pPr>
            <w:r>
              <w:rPr>
                <w:rFonts w:ascii="Calibri" w:hAnsi="Calibri"/>
                <w:b/>
                <w:i w:val="0"/>
                <w:color w:val="FFFFFF"/>
                <w:sz w:val="17"/>
              </w:rPr>
              <w:t>Notes</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Equator</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Ad valorem, banded, capped (see Tariff)</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Fourth-Schedule model; sole +25%; expedited −25%</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Instant online estimate; MSME −50%</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MCIA</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Ad valorem per published schedule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Ad valorem per published schedule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[verify]</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DIAC</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Per published schedule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Per Fourth Schedule / schedule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[verify]</w:t>
            </w:r>
          </w:p>
        </w:tc>
      </w:tr>
      <w:tr>
        <w:trPr>
          <w:trHeight w:val="0"/>
        </w:trPr>
        <w:tc>
          <w:tcPr>
            <w:tcW w:type="dxa" w:w="152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IIAC</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Regulations 2023 schedule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Per schedule</w:t>
            </w:r>
          </w:p>
        </w:tc>
        <w:tc>
          <w:tcPr>
            <w:tcW w:type="dxa" w:w="2661"/>
            <w:tcMar>
              <w:top w:w="60" w:type="dxa"/>
              <w:bottom w:w="60" w:type="dxa"/>
              <w:start w:w="110" w:type="dxa"/>
              <w:end w:w="110" w:type="dxa"/>
            </w:tcMar>
            <w:shd w:val="clear" w:color="auto" w:fill="F2F6F8"/>
          </w:tcPr>
          <w:p>
            <w:pPr>
              <w:spacing w:after="0"/>
              <w:jc w:val="left"/>
            </w:pPr>
            <w:r>
              <w:rPr>
                <w:rFonts w:ascii="Calibri" w:hAnsi="Calibri"/>
                <w:b w:val="0"/>
                <w:i w:val="0"/>
                <w:color w:val="1B2A32"/>
                <w:sz w:val="17"/>
              </w:rPr>
              <w:t>[verify]</w:t>
            </w:r>
          </w:p>
        </w:tc>
      </w:tr>
      <w:tr>
        <w:trPr>
          <w:trHeight w:val="0"/>
        </w:trPr>
        <w:tc>
          <w:tcPr>
            <w:tcW w:type="dxa" w:w="1521"/>
            <w:tcMar>
              <w:top w:w="60" w:type="dxa"/>
              <w:bottom w:w="60" w:type="dxa"/>
              <w:start w:w="110" w:type="dxa"/>
              <w:end w:w="110" w:type="dxa"/>
            </w:tcMar>
          </w:tcPr>
          <w:p>
            <w:pPr>
              <w:spacing w:after="0"/>
              <w:jc w:val="left"/>
            </w:pPr>
            <w:r>
              <w:rPr>
                <w:rFonts w:ascii="Calibri" w:hAnsi="Calibri"/>
                <w:b w:val="0"/>
                <w:i w:val="0"/>
                <w:color w:val="1B2A32"/>
                <w:sz w:val="17"/>
              </w:rPr>
              <w:t>NPAC / IAMC / ICA</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Per published schedule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Per schedule</w:t>
            </w:r>
          </w:p>
        </w:tc>
        <w:tc>
          <w:tcPr>
            <w:tcW w:type="dxa" w:w="2661"/>
            <w:tcMar>
              <w:top w:w="60" w:type="dxa"/>
              <w:bottom w:w="60" w:type="dxa"/>
              <w:start w:w="110" w:type="dxa"/>
              <w:end w:w="110" w:type="dxa"/>
            </w:tcMar>
          </w:tcPr>
          <w:p>
            <w:pPr>
              <w:spacing w:after="0"/>
              <w:jc w:val="left"/>
            </w:pPr>
            <w:r>
              <w:rPr>
                <w:rFonts w:ascii="Calibri" w:hAnsi="Calibri"/>
                <w:b w:val="0"/>
                <w:i w:val="0"/>
                <w:color w:val="1B2A32"/>
                <w:sz w:val="17"/>
              </w:rPr>
              <w:t>[verify]</w:t>
            </w:r>
          </w:p>
        </w:tc>
      </w:tr>
    </w:tbl>
    <w:p>
      <w:pPr>
        <w:spacing w:after="80"/>
      </w:pPr>
    </w:p>
    <w:p>
      <w:pPr>
        <w:spacing w:before="20" w:after="200"/>
        <w:jc w:val="center"/>
      </w:pPr>
      <w:r>
        <w:rPr>
          <w:rFonts w:ascii="Calibri" w:hAnsi="Calibri"/>
          <w:b w:val="0"/>
          <w:i/>
          <w:color w:val="556168"/>
          <w:sz w:val="17"/>
        </w:rPr>
        <w:t>Table — Pricing benchmark template (fill from published schedules).</w:t>
      </w:r>
    </w:p>
    <w:tbl>
      <w:tblPr>
        <w:tblW w:type="auto" w:w="0"/>
        <w:jc w:val="center"/>
        <w:tblLayout w:type="fixed"/>
        <w:tblLook w:firstColumn="1" w:firstRow="1" w:lastColumn="0" w:lastRow="0" w:noHBand="0" w:noVBand="1" w:val="04A0"/>
        <w:tblBorders>
          <w:top w:val="single" w:sz="4" w:space="0" w:color="2E7D5B"/>
          <w:left w:val="single" w:sz="4" w:space="0" w:color="2E7D5B"/>
          <w:bottom w:val="single" w:sz="4" w:space="0" w:color="2E7D5B"/>
          <w:right w:val="single" w:sz="4" w:space="0" w:color="2E7D5B"/>
          <w:insideH w:val="single" w:sz="4" w:space="0" w:color="2E7D5B"/>
          <w:insideV w:val="single" w:sz="4" w:space="0" w:color="2E7D5B"/>
        </w:tblBorders>
      </w:tblPr>
      <w:tblGrid>
        <w:gridCol w:w="9504"/>
      </w:tblGrid>
      <w:tr>
        <w:tc>
          <w:tcPr>
            <w:tcW w:type="dxa" w:w="9504"/>
            <w:shd w:val="clear" w:color="auto" w:fill="DCEEE4"/>
            <w:tcMar>
              <w:top w:w="90" w:type="dxa"/>
              <w:bottom w:w="90" w:type="dxa"/>
              <w:start w:w="140" w:type="dxa"/>
              <w:end w:w="140" w:type="dxa"/>
            </w:tcMar>
            <w:tcBorders>
              <w:start w:val="single" w:sz="26" w:space="0" w:color="2E7D5B"/>
            </w:tcBorders>
          </w:tcPr>
          <w:p>
            <w:pPr>
              <w:spacing w:after="40"/>
            </w:pPr>
            <w:r>
              <w:rPr>
                <w:rFonts w:ascii="Calibri" w:hAnsi="Calibri"/>
                <w:b/>
                <w:i w:val="0"/>
                <w:color w:val="2E7D5B"/>
                <w:sz w:val="19"/>
              </w:rPr>
              <w:t>COMPLIANCE NOTE</w:t>
            </w:r>
          </w:p>
          <w:p>
            <w:pPr>
              <w:jc w:val="both"/>
            </w:pPr>
            <w:r>
              <w:rPr>
                <w:rFonts w:ascii="Calibri" w:hAnsi="Calibri"/>
                <w:b w:val="0"/>
                <w:i w:val="0"/>
                <w:color w:val="1B2A32"/>
                <w:sz w:val="20"/>
              </w:rPr>
              <w:t xml:space="preserve">Use the companion </w:t>
            </w:r>
            <w:r>
              <w:rPr>
                <w:rFonts w:ascii="Calibri" w:hAnsi="Calibri"/>
                <w:b/>
                <w:i w:val="0"/>
                <w:color w:val="1B2A32"/>
                <w:sz w:val="20"/>
              </w:rPr>
              <w:t>Fee Estimator</w:t>
            </w:r>
            <w:r>
              <w:rPr>
                <w:rFonts w:ascii="Calibri" w:hAnsi="Calibri"/>
                <w:b w:val="0"/>
                <w:i w:val="0"/>
                <w:color w:val="1B2A32"/>
                <w:sz w:val="20"/>
              </w:rPr>
              <w:t xml:space="preserve"> and </w:t>
            </w:r>
            <w:r>
              <w:rPr>
                <w:rFonts w:ascii="Calibri" w:hAnsi="Calibri"/>
                <w:b/>
                <w:i w:val="0"/>
                <w:color w:val="1B2A32"/>
                <w:sz w:val="20"/>
              </w:rPr>
              <w:t>Schedule of Fees (Tariff)</w:t>
            </w:r>
            <w:r>
              <w:rPr>
                <w:rFonts w:ascii="Calibri" w:hAnsi="Calibri"/>
                <w:b w:val="0"/>
                <w:i w:val="0"/>
                <w:color w:val="1B2A32"/>
                <w:sz w:val="20"/>
              </w:rPr>
              <w:t xml:space="preserve"> to quote instantly and to keep Equator's pricing demonstrably competitive against the incumbents.</w:t>
            </w:r>
          </w:p>
        </w:tc>
      </w:tr>
    </w:tbl>
    <w:p>
      <w:pPr>
        <w:spacing w:after="120"/>
      </w:pPr>
    </w:p>
    <w:sectPr w:rsidR="00FC693F" w:rsidRPr="0006063C" w:rsidSect="00034616">
      <w:headerReference w:type="default" r:id="rId9"/>
      <w:footerReference w:type="default" r:id="rId1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6168"/>
        <w:sz w:val="16"/>
      </w:rPr>
    </w:r>
    <w:r>
      <w:rPr>
        <w:rFonts w:ascii="Calibri" w:hAnsi="Calibri"/>
        <w:b w:val="0"/>
        <w:i w:val="0"/>
        <w:color w:val="556168"/>
        <w:sz w:val="16"/>
      </w:rPr>
      <w:t xml:space="preserve">Confidential — Infrabyx Group  ·  © 2026  ·  Page </w:t>
    </w:r>
    <w:r>
      <w:rPr>
        <w:rFonts w:ascii="Calibri" w:hAnsi="Calibri"/>
        <w:b w:val="0"/>
        <w:i w:val="0"/>
        <w:color w:val="556168"/>
        <w:sz w:val="16"/>
      </w:rPr>
      <w:fldChar w:fldCharType="begin"/>
    </w:r>
    <w:r>
      <w:rPr>
        <w:rFonts w:ascii="Calibri" w:hAnsi="Calibri"/>
        <w:b w:val="0"/>
        <w:i w:val="0"/>
        <w:color w:val="556168"/>
        <w:sz w:val="16"/>
      </w:rPr>
      <w:instrText xml:space="preserve">PAGE</w:instrText>
    </w:r>
    <w:r>
      <w:rPr>
        <w:rFonts w:ascii="Calibri" w:hAnsi="Calibri"/>
        <w:b w:val="0"/>
        <w:i w:val="0"/>
        <w:color w:val="556168"/>
        <w:sz w:val="16"/>
      </w:rPr>
      <w:fldChar w:fldCharType="end"/>
    </w:r>
    <w:r>
      <w:rPr>
        <w:rFonts w:ascii="Calibri" w:hAnsi="Calibri"/>
        <w:b w:val="0"/>
        <w:i w:val="0"/>
        <w:color w:val="556168"/>
        <w:sz w:val="16"/>
      </w:rPr>
      <w:t xml:space="preserve"> of </w:t>
    </w:r>
    <w:r>
      <w:rPr>
        <w:rFonts w:ascii="Calibri" w:hAnsi="Calibri"/>
        <w:b w:val="0"/>
        <w:i w:val="0"/>
        <w:color w:val="556168"/>
        <w:sz w:val="16"/>
      </w:rPr>
      <w:fldChar w:fldCharType="begin"/>
    </w:r>
    <w:r>
      <w:rPr>
        <w:rFonts w:ascii="Calibri" w:hAnsi="Calibri"/>
        <w:b w:val="0"/>
        <w:i w:val="0"/>
        <w:color w:val="556168"/>
        <w:sz w:val="16"/>
      </w:rPr>
      <w:instrText xml:space="preserve">NUMPAGES</w:instrText>
    </w:r>
    <w:r>
      <w:rPr>
        <w:rFonts w:ascii="Calibri" w:hAnsi="Calibri"/>
        <w:b w:val="0"/>
        <w:i w:val="0"/>
        <w:color w:val="55616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Competitive Battlecard &amp; Pricing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FBABF47-62B2-4F51-A810-1AD8C250E00E}"/>
</file>

<file path=customXml/itemProps3.xml><?xml version="1.0" encoding="utf-8"?>
<ds:datastoreItem xmlns:ds="http://schemas.openxmlformats.org/officeDocument/2006/customXml" ds:itemID="{3DDB5FA8-C228-49BC-A934-E71468402106}"/>
</file>

<file path=customXml/itemProps4.xml><?xml version="1.0" encoding="utf-8"?>
<ds:datastoreItem xmlns:ds="http://schemas.openxmlformats.org/officeDocument/2006/customXml" ds:itemID="{3FAFECD1-D857-4D44-99EB-C1B6CF6DE3D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