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Institutional Arbitration &amp; Mediation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Clause-Insertion &amp; BD Programme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Building a self-replenishing commercial case pipeline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The Strategy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most durable pipeline for an arbitral institution is to be </w:t>
      </w:r>
      <w:r>
        <w:rPr>
          <w:rFonts w:ascii="Calibri" w:hAnsi="Calibri"/>
          <w:b/>
          <w:i w:val="0"/>
          <w:color w:val="1B2A32"/>
          <w:sz w:val="21"/>
        </w:rPr>
        <w:t>named in contracts</w:t>
      </w:r>
      <w:r>
        <w:rPr>
          <w:rFonts w:ascii="Calibri" w:hAnsi="Calibri"/>
          <w:b w:val="0"/>
          <w:i w:val="0"/>
          <w:color w:val="1B2A32"/>
          <w:sz w:val="21"/>
        </w:rPr>
        <w:t>. When Equator's arbitration/ADR clause is embedded in a partner's standard agreements, every future dispute under those agreements comes to Equator — a compounding, low-cost pipeline that grows with each partner. This mirrors the group's clause-insertion approach in the financial vertical, applied to commercial contracts.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Target Partners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NBFCs, banks &amp; fintechs: </w:t>
      </w:r>
      <w:r>
        <w:rPr>
          <w:rFonts w:ascii="Calibri" w:hAnsi="Calibri"/>
          <w:b w:val="0"/>
          <w:i w:val="0"/>
          <w:color w:val="1B2A32"/>
          <w:sz w:val="21"/>
        </w:rPr>
        <w:t>Loan, co-lending, guarantee and vendor agreements.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Corporates &amp; MSMEs: </w:t>
      </w:r>
      <w:r>
        <w:rPr>
          <w:rFonts w:ascii="Calibri" w:hAnsi="Calibri"/>
          <w:b w:val="0"/>
          <w:i w:val="0"/>
          <w:color w:val="1B2A32"/>
          <w:sz w:val="21"/>
        </w:rPr>
        <w:t>MSAs, procurement, supply, distribution, employment-adjacent and services contracts.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Real-estate &amp; construction: </w:t>
      </w:r>
      <w:r>
        <w:rPr>
          <w:rFonts w:ascii="Calibri" w:hAnsi="Calibri"/>
          <w:b w:val="0"/>
          <w:i w:val="0"/>
          <w:color w:val="1B2A32"/>
          <w:sz w:val="21"/>
        </w:rPr>
        <w:t>Development, JDA, EPC and works contracts (with dispute-board options).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Law firms: </w:t>
      </w:r>
      <w:r>
        <w:rPr>
          <w:rFonts w:ascii="Calibri" w:hAnsi="Calibri"/>
          <w:b w:val="0"/>
          <w:i w:val="0"/>
          <w:color w:val="1B2A32"/>
          <w:sz w:val="21"/>
        </w:rPr>
        <w:t>As drafting partners who insert the Equator clause for their clients.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Industry associations &amp; chambers: </w:t>
      </w:r>
      <w:r>
        <w:rPr>
          <w:rFonts w:ascii="Calibri" w:hAnsi="Calibri"/>
          <w:b w:val="0"/>
          <w:i w:val="0"/>
          <w:color w:val="1B2A32"/>
          <w:sz w:val="21"/>
        </w:rPr>
        <w:t>Sector-wide adoption and member education.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PSUs &amp; government bodies: </w:t>
      </w:r>
      <w:r>
        <w:rPr>
          <w:rFonts w:ascii="Calibri" w:hAnsi="Calibri"/>
          <w:b w:val="0"/>
          <w:i w:val="0"/>
          <w:color w:val="1B2A32"/>
          <w:sz w:val="21"/>
        </w:rPr>
        <w:t>Standard-form contract adoption (subject to procurement rules).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How It Works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Equator provides a legally-reviewed </w:t>
      </w:r>
      <w:r>
        <w:rPr>
          <w:rFonts w:ascii="Calibri" w:hAnsi="Calibri"/>
          <w:b/>
          <w:i w:val="0"/>
          <w:color w:val="1B2A32"/>
          <w:sz w:val="21"/>
        </w:rPr>
        <w:t>Model Clause</w:t>
      </w:r>
      <w:r>
        <w:rPr>
          <w:rFonts w:ascii="Calibri" w:hAnsi="Calibri"/>
          <w:b w:val="0"/>
          <w:i w:val="0"/>
          <w:color w:val="1B2A32"/>
          <w:sz w:val="21"/>
        </w:rPr>
        <w:t xml:space="preserve"> for the partner's specific agreement type (see the Expanded Model Clause Library).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partner adopts the clause in its standard templates.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All future agreements automatically name Equator — no per-transaction action.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Disputes arrive pre-committed; Equator administers under its Rules.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partner receives a dashboard, priority scheduling and quarterly dispute-analytics.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Partner Benefits Package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Dedicated relationship manager and priority case allocation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Co-branded 'subject to Equator arbitration' seal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Quarterly dispute-intelligence report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CLE/CPD events and clause-drafting workshops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Preferential/transparent fees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Track clause-insertion partners, agreements covered and resulting cases as a core BD KPI — this is the commercial vertical's growth engine.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Clause-Insertion &amp; Business-Development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D5B8EF-11E2-4BD0-B098-94EC554F338F}"/>
</file>

<file path=customXml/itemProps3.xml><?xml version="1.0" encoding="utf-8"?>
<ds:datastoreItem xmlns:ds="http://schemas.openxmlformats.org/officeDocument/2006/customXml" ds:itemID="{AE582C50-B97E-49BC-867C-F4241C6F5E4C}"/>
</file>

<file path=customXml/itemProps4.xml><?xml version="1.0" encoding="utf-8"?>
<ds:datastoreItem xmlns:ds="http://schemas.openxmlformats.org/officeDocument/2006/customXml" ds:itemID="{95B20E3D-544F-4C79-B3EB-A6172EED90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