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23B4F"/>
          <w:sz w:val="28"/>
        </w:rPr>
        <w:t>EQUATOR RESOLUTION</w:t>
      </w:r>
    </w:p>
    <w:p>
      <w:pPr>
        <w:spacing w:after="40"/>
        <w:jc w:val="center"/>
        <w:pBdr>
          <w:bottom w:val="single" w:sz="14" w:space="3" w:color="C6A15B"/>
        </w:pBdr>
      </w:pPr>
      <w:r>
        <w:rPr>
          <w:rFonts w:ascii="Calibri" w:hAnsi="Calibri"/>
          <w:b w:val="0"/>
          <w:i/>
          <w:color w:val="1E7A8C"/>
          <w:sz w:val="19"/>
        </w:rPr>
        <w:t>Institutional Arbitration &amp; Mediation</w:t>
      </w:r>
    </w:p>
    <w:p>
      <w:pPr>
        <w:spacing w:before="160"/>
        <w:jc w:val="center"/>
      </w:pPr>
      <w:r>
        <w:rPr>
          <w:rFonts w:ascii="Calibri" w:hAnsi="Calibri"/>
          <w:b/>
          <w:i w:val="0"/>
          <w:color w:val="123B4F"/>
          <w:sz w:val="42"/>
        </w:rPr>
        <w:t>Panel-Building Strategy &amp; Empanelment</w:t>
      </w:r>
    </w:p>
    <w:p>
      <w:pPr>
        <w:spacing w:after="160"/>
        <w:jc w:val="center"/>
      </w:pPr>
      <w:r>
        <w:rPr>
          <w:rFonts w:ascii="Calibri" w:hAnsi="Calibri"/>
          <w:b w:val="0"/>
          <w:i/>
          <w:color w:val="556168"/>
          <w:sz w:val="23"/>
        </w:rPr>
        <w:t>Recruiting, grading and evaluating Equator's neutrals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1.  Target Panel Composition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Retired judges: </w:t>
      </w:r>
      <w:r>
        <w:rPr>
          <w:rFonts w:ascii="Calibri" w:hAnsi="Calibri"/>
          <w:b w:val="0"/>
          <w:i w:val="0"/>
          <w:color w:val="1B2A32"/>
          <w:sz w:val="21"/>
        </w:rPr>
        <w:t>Supreme Court, High Court and District judiciary — credibility and gravitas.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Senior &amp; experienced advocates: </w:t>
      </w:r>
      <w:r>
        <w:rPr>
          <w:rFonts w:ascii="Calibri" w:hAnsi="Calibri"/>
          <w:b w:val="0"/>
          <w:i w:val="0"/>
          <w:color w:val="1B2A32"/>
          <w:sz w:val="21"/>
        </w:rPr>
        <w:t>Arbitration and commercial-litigation practitioners.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Sector experts: </w:t>
      </w:r>
      <w:r>
        <w:rPr>
          <w:rFonts w:ascii="Calibri" w:hAnsi="Calibri"/>
          <w:b w:val="0"/>
          <w:i w:val="0"/>
          <w:color w:val="1B2A32"/>
          <w:sz w:val="21"/>
        </w:rPr>
        <w:t>Construction/quantum, engineering, finance, technology, valuation, accountancy.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Trained mediators: </w:t>
      </w:r>
      <w:r>
        <w:rPr>
          <w:rFonts w:ascii="Calibri" w:hAnsi="Calibri"/>
          <w:b w:val="0"/>
          <w:i w:val="0"/>
          <w:color w:val="1B2A32"/>
          <w:sz w:val="21"/>
        </w:rPr>
        <w:t>Accredited commercial mediators for the mediation and s.12A tracks.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Diversity: </w:t>
      </w:r>
      <w:r>
        <w:rPr>
          <w:rFonts w:ascii="Calibri" w:hAnsi="Calibri"/>
          <w:b w:val="0"/>
          <w:i w:val="0"/>
          <w:color w:val="1B2A32"/>
          <w:sz w:val="21"/>
        </w:rPr>
        <w:t>Deliberate gender and regional diversity; younger neutrals for expedited matters.</w:t>
      </w:r>
    </w:p>
    <w:p>
      <w:pPr>
        <w:pStyle w:val="ListBullet"/>
        <w:spacing w:after="60"/>
        <w:jc w:val="both"/>
      </w:pPr>
      <w:r>
        <w:rPr>
          <w:rFonts w:ascii="Calibri" w:hAnsi="Calibri"/>
          <w:b/>
          <w:i w:val="0"/>
          <w:color w:val="123B4F"/>
          <w:sz w:val="21"/>
        </w:rPr>
        <w:t xml:space="preserve">International: </w:t>
      </w:r>
      <w:r>
        <w:rPr>
          <w:rFonts w:ascii="Calibri" w:hAnsi="Calibri"/>
          <w:b w:val="0"/>
          <w:i w:val="0"/>
          <w:color w:val="1B2A32"/>
          <w:sz w:val="21"/>
        </w:rPr>
        <w:t>Neutrals with cross-border/institutional experience for international and IFSC matters.</w:t>
      </w:r>
    </w:p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2.  Grading (A / B / C)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D0D6"/>
          <w:left w:val="single" w:sz="4" w:space="0" w:color="C4D0D6"/>
          <w:bottom w:val="single" w:sz="4" w:space="0" w:color="C4D0D6"/>
          <w:right w:val="single" w:sz="4" w:space="0" w:color="C4D0D6"/>
          <w:insideH w:val="single" w:sz="4" w:space="0" w:color="C4D0D6"/>
          <w:insideV w:val="single" w:sz="4" w:space="0" w:color="C4D0D6"/>
        </w:tblBorders>
      </w:tblPr>
      <w:tblGrid>
        <w:gridCol w:w="3168"/>
        <w:gridCol w:w="3168"/>
        <w:gridCol w:w="3168"/>
      </w:tblGrid>
      <w:tr>
        <w:trPr>
          <w:trHeight w:val="0"/>
        </w:trPr>
        <w:tc>
          <w:tcPr>
            <w:tcW w:type="dxa" w:w="133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Grade</w:t>
            </w:r>
          </w:p>
        </w:tc>
        <w:tc>
          <w:tcPr>
            <w:tcW w:type="dxa" w:w="4752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Profile</w:t>
            </w:r>
          </w:p>
        </w:tc>
        <w:tc>
          <w:tcPr>
            <w:tcW w:type="dxa" w:w="342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Typical use</w:t>
            </w:r>
          </w:p>
        </w:tc>
      </w:tr>
      <w:tr>
        <w:trPr>
          <w:trHeight w:val="0"/>
        </w:trPr>
        <w:tc>
          <w:tcPr>
            <w:tcW w:type="dxa" w:w="133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Grade A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Retired senior judges / eminent seniors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High-value, complex, three-member tribunals</w:t>
            </w:r>
          </w:p>
        </w:tc>
      </w:tr>
      <w:tr>
        <w:trPr>
          <w:trHeight w:val="0"/>
        </w:trPr>
        <w:tc>
          <w:tcPr>
            <w:tcW w:type="dxa" w:w="133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Grade B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Experienced arbitrators / seniors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Mid-value matters; presiding/co-arbitrator</w:t>
            </w:r>
          </w:p>
        </w:tc>
      </w:tr>
      <w:tr>
        <w:trPr>
          <w:trHeight w:val="0"/>
        </w:trPr>
        <w:tc>
          <w:tcPr>
            <w:tcW w:type="dxa" w:w="133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Grade C</w:t>
            </w:r>
          </w:p>
        </w:tc>
        <w:tc>
          <w:tcPr>
            <w:tcW w:type="dxa" w:w="475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Trained neutrals / sector experts</w:t>
            </w:r>
          </w:p>
        </w:tc>
        <w:tc>
          <w:tcPr>
            <w:tcW w:type="dxa" w:w="342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Expedited, documents-only, lower-value &amp; MSME</w:t>
            </w:r>
          </w:p>
        </w:tc>
      </w:tr>
    </w:tbl>
    <w:p>
      <w:pPr>
        <w:spacing w:after="80"/>
      </w:pPr>
    </w:p>
    <w:p>
      <w:pPr>
        <w:spacing w:before="20" w:after="200"/>
        <w:jc w:val="center"/>
      </w:pPr>
      <w:r>
        <w:rPr>
          <w:rFonts w:ascii="Calibri" w:hAnsi="Calibri"/>
          <w:b w:val="0"/>
          <w:i/>
          <w:color w:val="556168"/>
          <w:sz w:val="17"/>
        </w:rPr>
        <w:t>Table — Panel grades.</w:t>
      </w: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3.  Empanelment Application (form)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1E7A8C"/>
            <w:tcMar>
              <w:top w:w="34" w:type="dxa"/>
              <w:bottom w:w="34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A.  CANDIDATE DETAILS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752"/>
        <w:gridCol w:w="4752"/>
      </w:tblGrid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Full name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Qualifications &amp; Bar/enrolment no.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Years of relevant experience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Sector expertise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Languages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Cities / seats available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Preferred role (arbitrator/mediator/both)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  <w:tr>
        <w:tc>
          <w:tcPr>
            <w:tcW w:type="dxa" w:w="3231"/>
            <w:shd w:val="clear" w:color="auto" w:fill="DCEAE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MCI / ACI accreditation (if any)</w:t>
            </w:r>
          </w:p>
        </w:tc>
        <w:tc>
          <w:tcPr>
            <w:tcW w:type="dxa" w:w="6273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1E7A8C"/>
            <w:tcMar>
              <w:top w:w="34" w:type="dxa"/>
              <w:bottom w:w="34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B.  EXPERIENCE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4D0D6"/>
          <w:left w:val="single" w:sz="4" w:space="0" w:color="C4D0D6"/>
          <w:bottom w:val="single" w:sz="4" w:space="0" w:color="C4D0D6"/>
          <w:right w:val="single" w:sz="4" w:space="0" w:color="C4D0D6"/>
          <w:insideH w:val="single" w:sz="4" w:space="0" w:color="C4D0D6"/>
          <w:insideV w:val="single" w:sz="4" w:space="0" w:color="C4D0D6"/>
        </w:tblBorders>
      </w:tblPr>
      <w:tblGrid>
        <w:gridCol w:w="9504"/>
      </w:tblGrid>
      <w:tr>
        <w:tc>
          <w:tcPr>
            <w:tcW w:type="dxa" w:w="9504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Representative arbitrations / mediations (role, sector, value band)</w:t>
            </w:r>
          </w:p>
        </w:tc>
      </w:tr>
      <w:tr>
        <w:tc>
          <w:tcPr>
            <w:tcW w:type="dxa" w:w="95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504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r>
              <w:t xml:space="preserve"> </w:t>
            </w:r>
          </w:p>
        </w:tc>
      </w:tr>
      <w:tr>
        <w:tc>
          <w:tcPr>
            <w:tcW w:type="dxa" w:w="9504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1E7A8C"/>
            <w:tcMar>
              <w:top w:w="34" w:type="dxa"/>
              <w:bottom w:w="34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C.  DECLARATIONS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504"/>
      </w:tblGrid>
      <w:tr>
        <w:tc>
          <w:tcPr>
            <w:tcW w:type="dxa" w:w="9504"/>
            <w:shd w:val="clear" w:color="auto" w:fill="1E7A8C"/>
            <w:tcMar>
              <w:top w:w="34" w:type="dxa"/>
              <w:bottom w:w="34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have no undisclosed conflicts and will comply with the Equator Code of Conduct and disclosure duties.</w:t>
      </w: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I have sufficient availability to meet the statutory timelines.</w:t>
      </w:r>
    </w:p>
    <w:p>
      <w:pPr>
        <w:spacing w:after="4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information provided is true and complete.</w:t>
      </w:r>
    </w:p>
    <w:p>
      <w:pPr>
        <w:spacing w:after="20"/>
      </w:pPr>
    </w:p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2"/>
        <w:gridCol w:w="4752"/>
      </w:tblGrid>
      <w:tr>
        <w:tc>
          <w:tcPr>
            <w:tcW w:type="dxa" w:w="4752"/>
            <w:tcMar>
              <w:top w:w="13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6"/>
              </w:rPr>
              <w:t>Candidate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4"/>
              </w:rPr>
              <w:t>Name / Signature / Date</w:t>
            </w:r>
          </w:p>
        </w:tc>
        <w:tc>
          <w:tcPr>
            <w:tcW w:type="dxa" w:w="4752"/>
            <w:tcMar>
              <w:top w:w="13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6"/>
              </w:rPr>
              <w:t>Empanelment Committee (Equator)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4"/>
              </w:rPr>
              <w:t>Name / Signature / Date</w:t>
            </w:r>
          </w:p>
        </w:tc>
      </w:tr>
    </w:tbl>
    <w:p>
      <w:pPr>
        <w:spacing w:after="40"/>
      </w:pPr>
    </w:p>
    <w:p>
      <w:pPr>
        <w:keepNext/>
        <w:spacing w:before="320" w:after="140"/>
        <w:pBdr>
          <w:bottom w:val="single" w:sz="12" w:space="3" w:color="C6A15B"/>
        </w:pBdr>
      </w:pPr>
      <w:r>
        <w:rPr>
          <w:rFonts w:ascii="Calibri" w:hAnsi="Calibri"/>
          <w:b/>
          <w:i w:val="0"/>
          <w:color w:val="123B4F"/>
          <w:sz w:val="34"/>
        </w:rPr>
        <w:t>4.  Evaluation Rubric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4D0D6"/>
          <w:left w:val="single" w:sz="4" w:space="0" w:color="C4D0D6"/>
          <w:bottom w:val="single" w:sz="4" w:space="0" w:color="C4D0D6"/>
          <w:right w:val="single" w:sz="4" w:space="0" w:color="C4D0D6"/>
          <w:insideH w:val="single" w:sz="4" w:space="0" w:color="C4D0D6"/>
          <w:insideV w:val="single" w:sz="4" w:space="0" w:color="C4D0D6"/>
        </w:tblBorders>
      </w:tblPr>
      <w:tblGrid>
        <w:gridCol w:w="3168"/>
        <w:gridCol w:w="3168"/>
        <w:gridCol w:w="3168"/>
      </w:tblGrid>
      <w:tr>
        <w:trPr>
          <w:trHeight w:val="0"/>
        </w:trPr>
        <w:tc>
          <w:tcPr>
            <w:tcW w:type="dxa" w:w="4942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Criterion</w:t>
            </w:r>
          </w:p>
        </w:tc>
        <w:tc>
          <w:tcPr>
            <w:tcW w:type="dxa" w:w="171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Weight</w:t>
            </w:r>
          </w:p>
        </w:tc>
        <w:tc>
          <w:tcPr>
            <w:tcW w:type="dxa" w:w="2851"/>
            <w:shd w:val="clear" w:color="auto" w:fill="123B4F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Score (1–5)</w:t>
            </w:r>
          </w:p>
        </w:tc>
      </w:tr>
      <w:tr>
        <w:trPr>
          <w:trHeight w:val="0"/>
        </w:trPr>
        <w:tc>
          <w:tcPr>
            <w:tcW w:type="dxa" w:w="494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Judicial/arbitral standing &amp; experience</w:t>
            </w:r>
          </w:p>
        </w:tc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25%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0"/>
        </w:trPr>
        <w:tc>
          <w:tcPr>
            <w:tcW w:type="dxa" w:w="494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Sector expertise &amp; relevance</w:t>
            </w:r>
          </w:p>
        </w:tc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</w:p>
        </w:tc>
      </w:tr>
      <w:tr>
        <w:trPr>
          <w:trHeight w:val="0"/>
        </w:trPr>
        <w:tc>
          <w:tcPr>
            <w:tcW w:type="dxa" w:w="494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Availability &amp; timeliness</w:t>
            </w:r>
          </w:p>
        </w:tc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15%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0"/>
        </w:trPr>
        <w:tc>
          <w:tcPr>
            <w:tcW w:type="dxa" w:w="494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Reasoning &amp; award-writing quality (sample)</w:t>
            </w:r>
          </w:p>
        </w:tc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20%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</w:p>
        </w:tc>
      </w:tr>
      <w:tr>
        <w:trPr>
          <w:trHeight w:val="0"/>
        </w:trPr>
        <w:tc>
          <w:tcPr>
            <w:tcW w:type="dxa" w:w="4942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Independence &amp; conflicts record</w:t>
            </w:r>
          </w:p>
        </w:tc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10%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</w:tcPr>
          <w:p>
            <w:pPr>
              <w:spacing w:after="0"/>
              <w:jc w:val="left"/>
            </w:pPr>
          </w:p>
        </w:tc>
      </w:tr>
      <w:tr>
        <w:trPr>
          <w:trHeight w:val="0"/>
        </w:trPr>
        <w:tc>
          <w:tcPr>
            <w:tcW w:type="dxa" w:w="4942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Diversity contribution</w:t>
            </w:r>
          </w:p>
        </w:tc>
        <w:tc>
          <w:tcPr>
            <w:tcW w:type="dxa" w:w="171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10%</w:t>
            </w:r>
          </w:p>
        </w:tc>
        <w:tc>
          <w:tcPr>
            <w:tcW w:type="dxa" w:w="2851"/>
            <w:tcMar>
              <w:top w:w="60" w:type="dxa"/>
              <w:bottom w:w="60" w:type="dxa"/>
              <w:start w:w="110" w:type="dxa"/>
              <w:end w:w="110" w:type="dxa"/>
            </w:tcMar>
            <w:shd w:val="clear" w:color="auto" w:fill="F2F6F8"/>
          </w:tcPr>
          <w:p>
            <w:pPr>
              <w:spacing w:after="0"/>
              <w:jc w:val="left"/>
            </w:pPr>
          </w:p>
        </w:tc>
      </w:tr>
    </w:tbl>
    <w:p>
      <w:pPr>
        <w:spacing w:after="80"/>
      </w:pPr>
    </w:p>
    <w:p>
      <w:pPr>
        <w:spacing w:before="20" w:after="200"/>
        <w:jc w:val="center"/>
      </w:pPr>
      <w:r>
        <w:rPr>
          <w:rFonts w:ascii="Calibri" w:hAnsi="Calibri"/>
          <w:b w:val="0"/>
          <w:i/>
          <w:color w:val="556168"/>
          <w:sz w:val="17"/>
        </w:rPr>
        <w:t>Table — Empanelment scoring rubric (≥ threshold to empanel; grade by score).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2E7D5B"/>
          <w:left w:val="single" w:sz="4" w:space="0" w:color="2E7D5B"/>
          <w:bottom w:val="single" w:sz="4" w:space="0" w:color="2E7D5B"/>
          <w:right w:val="single" w:sz="4" w:space="0" w:color="2E7D5B"/>
          <w:insideH w:val="single" w:sz="4" w:space="0" w:color="2E7D5B"/>
          <w:insideV w:val="single" w:sz="4" w:space="0" w:color="2E7D5B"/>
        </w:tblBorders>
      </w:tblPr>
      <w:tblGrid>
        <w:gridCol w:w="9504"/>
      </w:tblGrid>
      <w:tr>
        <w:tc>
          <w:tcPr>
            <w:tcW w:type="dxa" w:w="9504"/>
            <w:shd w:val="clear" w:color="auto" w:fill="DCEEE4"/>
            <w:tcMar>
              <w:top w:w="90" w:type="dxa"/>
              <w:bottom w:w="90" w:type="dxa"/>
              <w:start w:w="140" w:type="dxa"/>
              <w:end w:w="140" w:type="dxa"/>
            </w:tcMar>
            <w:tcBorders>
              <w:start w:val="single" w:sz="26" w:space="0" w:color="2E7D5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E7D5B"/>
                <w:sz w:val="19"/>
              </w:rPr>
              <w:t>COMPLIANCE NOTE</w:t>
            </w:r>
          </w:p>
          <w:p>
            <w:pPr>
              <w:jc w:val="both"/>
            </w:pPr>
            <w:r>
              <w:rPr>
                <w:rFonts w:ascii="Calibri" w:hAnsi="Calibri"/>
                <w:b w:val="0"/>
                <w:i w:val="0"/>
                <w:color w:val="1B2A32"/>
                <w:sz w:val="20"/>
              </w:rPr>
              <w:t>Re-evaluate annually from case feedback and award scrutiny; suspend or de-empanel for breaches of independence, confidentiality or the timelines.</w:t>
            </w:r>
          </w:p>
        </w:tc>
      </w:tr>
    </w:tbl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368" w:bottom="129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6"/>
      </w:rPr>
    </w:r>
    <w:r>
      <w:rPr>
        <w:rFonts w:ascii="Calibri" w:hAnsi="Calibri"/>
        <w:b w:val="0"/>
        <w:i w:val="0"/>
        <w:color w:val="556168"/>
        <w:sz w:val="16"/>
      </w:rPr>
      <w:t xml:space="preserve">Confidential — Infrabyx Group  ·  © 2026  ·  Page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PAGE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  <w:r>
      <w:rPr>
        <w:rFonts w:ascii="Calibri" w:hAnsi="Calibri"/>
        <w:b w:val="0"/>
        <w:i w:val="0"/>
        <w:color w:val="556168"/>
        <w:sz w:val="16"/>
      </w:rPr>
      <w:t xml:space="preserve"> of </w:t>
    </w:r>
    <w:r>
      <w:rPr>
        <w:rFonts w:ascii="Calibri" w:hAnsi="Calibri"/>
        <w:b w:val="0"/>
        <w:i w:val="0"/>
        <w:color w:val="556168"/>
        <w:sz w:val="16"/>
      </w:rPr>
      <w:fldChar w:fldCharType="begin"/>
    </w:r>
    <w:r>
      <w:rPr>
        <w:rFonts w:ascii="Calibri" w:hAnsi="Calibri"/>
        <w:b w:val="0"/>
        <w:i w:val="0"/>
        <w:color w:val="556168"/>
        <w:sz w:val="16"/>
      </w:rPr>
      <w:instrText xml:space="preserve">NUMPAGES</w:instrText>
    </w:r>
    <w:r>
      <w:rPr>
        <w:rFonts w:ascii="Calibri" w:hAnsi="Calibri"/>
        <w:b w:val="0"/>
        <w:i w:val="0"/>
        <w:color w:val="55616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2" w:color="C6A15B"/>
      </w:pBdr>
    </w:pPr>
    <w:r/>
    <w:r>
      <w:rPr>
        <w:rFonts w:ascii="Calibri" w:hAnsi="Calibri"/>
        <w:b w:val="0"/>
        <w:i w:val="0"/>
        <w:color w:val="556168"/>
        <w:sz w:val="16"/>
      </w:rPr>
      <w:t>Equator Resolution  |  Panel-Building Strategy &amp; Empanelment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1B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4D5B6A-91BD-4158-BFCE-23A197F04BF3}"/>
</file>

<file path=customXml/itemProps3.xml><?xml version="1.0" encoding="utf-8"?>
<ds:datastoreItem xmlns:ds="http://schemas.openxmlformats.org/officeDocument/2006/customXml" ds:itemID="{6988A3C9-E0DE-4941-BC9B-0169C4EE2056}"/>
</file>

<file path=customXml/itemProps4.xml><?xml version="1.0" encoding="utf-8"?>
<ds:datastoreItem xmlns:ds="http://schemas.openxmlformats.org/officeDocument/2006/customXml" ds:itemID="{3A72C37D-9114-46CB-A185-D6E10CBF95F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