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  <w:pBdr>
          <w:bottom w:val="single" w:sz="14" w:space="3" w:color="C6A15B"/>
        </w:pBdr>
      </w:pPr>
      <w:r>
        <w:rPr>
          <w:rFonts w:ascii="Calibri" w:hAnsi="Calibri"/>
          <w:b w:val="0"/>
          <w:i/>
          <w:color w:val="1E7A8C"/>
          <w:sz w:val="19"/>
        </w:rPr>
        <w:t>Institutional Arbitration &amp; Mediation</w:t>
      </w:r>
    </w:p>
    <w:p>
      <w:pPr>
        <w:spacing w:before="160"/>
        <w:jc w:val="center"/>
      </w:pPr>
      <w:r>
        <w:rPr>
          <w:rFonts w:ascii="Calibri" w:hAnsi="Calibri"/>
          <w:b/>
          <w:i w:val="0"/>
          <w:color w:val="123B4F"/>
          <w:sz w:val="42"/>
        </w:rPr>
        <w:t>Memorandum of Understanding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56168"/>
          <w:sz w:val="23"/>
        </w:rPr>
        <w:t>Clause-Insertion Partnership (template)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This Memorandum of Understanding (“MoU”) is made on [date] between </w:t>
      </w:r>
      <w:r>
        <w:rPr>
          <w:rFonts w:ascii="Calibri" w:hAnsi="Calibri"/>
          <w:b/>
          <w:i w:val="0"/>
          <w:color w:val="1B2A32"/>
          <w:sz w:val="21"/>
        </w:rPr>
        <w:t>Equator Resolution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(“Equator”) and </w:t>
      </w:r>
      <w:r>
        <w:rPr>
          <w:rFonts w:ascii="Calibri" w:hAnsi="Calibri"/>
          <w:b/>
          <w:i w:val="0"/>
          <w:color w:val="1B2A32"/>
          <w:sz w:val="21"/>
        </w:rPr>
        <w:t>[Partner]</w:t>
      </w:r>
      <w:r>
        <w:rPr>
          <w:rFonts w:ascii="Calibri" w:hAnsi="Calibri"/>
          <w:b w:val="0"/>
          <w:i w:val="0"/>
          <w:color w:val="1B2A32"/>
          <w:sz w:val="21"/>
        </w:rPr>
        <w:t xml:space="preserve"> (“Partner”).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1.  1.  Purpose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Partner will adopt the Equator arbitration/ADR clause in its standard agreements, and Equator will administer disputes arising under those agreements as the designated institution.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2.  2.  Equator's Obligations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Provide legally-reviewed model clauses for the Partner's agreement types.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Administer disputes under the Equator Rules; provide a case dashboard and priority allocation.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Provide quarterly dispute analytics and clause-drafting support.</w:t>
      </w:r>
    </w:p>
    <w:p>
      <w:pPr>
        <w:spacing w:after="4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3.  3.  Partner's Obligations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Adopt the Equator clause in the agreed standard agreements.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Name Equator as the designated institution.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Provide reasonable information for onboarding and analytics.</w:t>
      </w:r>
    </w:p>
    <w:p>
      <w:pPr>
        <w:spacing w:after="4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4.  4.  Fees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Disputes are charged per the Equator Schedule of Fees; the Partner may be offered preferential rates as agreed in Schedule A. This MoU does not itself create any fee liability.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5.  5.  Term, Confidentiality &amp; General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This MoU is effective from [date] for [__] years, renewable. Each party keeps the other's confidential information confidential. This MoU records the parties' intent and, save for the confidentiality and governing-law clauses, is not intended to be legally binding. Governed by [Indian law].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4752"/>
            <w:tcMar>
              <w:top w:w="13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6"/>
              </w:rPr>
              <w:t>For 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4"/>
              </w:rPr>
              <w:t>Name / Signature / Date</w:t>
            </w:r>
          </w:p>
        </w:tc>
        <w:tc>
          <w:tcPr>
            <w:tcW w:type="dxa" w:w="4752"/>
            <w:tcMar>
              <w:top w:w="13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6"/>
              </w:rPr>
              <w:t>For [Partner]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4"/>
              </w:rPr>
              <w:t>Name / Signature / Date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6"/>
      </w:rPr>
    </w:r>
    <w:r>
      <w:rPr>
        <w:rFonts w:ascii="Calibri" w:hAnsi="Calibri"/>
        <w:b w:val="0"/>
        <w:i w:val="0"/>
        <w:color w:val="556168"/>
        <w:sz w:val="16"/>
      </w:rPr>
      <w:t xml:space="preserve">Confidential — Infrabyx Group  ·  © 2026  ·  Page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PAGE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  <w:r>
      <w:rPr>
        <w:rFonts w:ascii="Calibri" w:hAnsi="Calibri"/>
        <w:b w:val="0"/>
        <w:i w:val="0"/>
        <w:color w:val="556168"/>
        <w:sz w:val="16"/>
      </w:rPr>
      <w:t xml:space="preserve"> of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NUMPAGES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 |  Partner MoU — Clause Insertion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8A79C2-8EA1-4EB2-AFD1-06012B179E1E}"/>
</file>

<file path=customXml/itemProps3.xml><?xml version="1.0" encoding="utf-8"?>
<ds:datastoreItem xmlns:ds="http://schemas.openxmlformats.org/officeDocument/2006/customXml" ds:itemID="{90FB4A61-CFEA-4E6A-99BD-B3C76D6FB045}"/>
</file>

<file path=customXml/itemProps4.xml><?xml version="1.0" encoding="utf-8"?>
<ds:datastoreItem xmlns:ds="http://schemas.openxmlformats.org/officeDocument/2006/customXml" ds:itemID="{9F0791F8-4FAC-4AFF-B987-4A0FF0EF7A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