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Commercial ADR Platform — Engineering Handoff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Technical Architecture &amp; System Design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A build-ready system design for the Commercial ADR platform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Overview &amp; Principles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cloud-native, microservices platform delivering online arbitration, mediation and MSME resolution, with an AI assistant, e-Sign/e-Stamp, escrow and court integration. Principles: </w:t>
      </w:r>
      <w:r>
        <w:rPr>
          <w:rFonts w:ascii="Calibri" w:hAnsi="Calibri"/>
          <w:b/>
          <w:i w:val="0"/>
          <w:color w:val="1B2A32"/>
          <w:sz w:val="21"/>
        </w:rPr>
        <w:t>security &amp; confidentiality first</w:t>
      </w:r>
      <w:r>
        <w:rPr>
          <w:rFonts w:ascii="Calibri" w:hAnsi="Calibri"/>
          <w:b w:val="0"/>
          <w:i w:val="0"/>
          <w:color w:val="1B2A32"/>
          <w:sz w:val="21"/>
        </w:rPr>
        <w:t xml:space="preserve"> (commercially sensitive data and confidentiality rings), </w:t>
      </w:r>
      <w:r>
        <w:rPr>
          <w:rFonts w:ascii="Calibri" w:hAnsi="Calibri"/>
          <w:b/>
          <w:i w:val="0"/>
          <w:color w:val="1B2A32"/>
          <w:sz w:val="21"/>
        </w:rPr>
        <w:t>API-first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least privilege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auditability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statutory-timeline awareness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</w:t>
      </w:r>
      <w:r>
        <w:rPr>
          <w:rFonts w:ascii="Calibri" w:hAnsi="Calibri"/>
          <w:b/>
          <w:i w:val="0"/>
          <w:color w:val="1B2A32"/>
          <w:sz w:val="21"/>
        </w:rPr>
        <w:t>DPDP by design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Technology Stack (recommended)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D0D6"/>
          <w:left w:val="single" w:sz="4" w:space="0" w:color="C4D0D6"/>
          <w:bottom w:val="single" w:sz="4" w:space="0" w:color="C4D0D6"/>
          <w:right w:val="single" w:sz="4" w:space="0" w:color="C4D0D6"/>
          <w:insideH w:val="single" w:sz="4" w:space="0" w:color="C4D0D6"/>
          <w:insideV w:val="single" w:sz="4" w:space="0" w:color="C4D0D6"/>
        </w:tblBorders>
      </w:tblPr>
      <w:tblGrid>
        <w:gridCol w:w="4752"/>
        <w:gridCol w:w="4752"/>
      </w:tblGrid>
      <w:tr>
        <w:trPr>
          <w:trHeight w:val="0"/>
        </w:trPr>
        <w:tc>
          <w:tcPr>
            <w:tcW w:type="dxa" w:w="209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7413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Recommendation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Frontend</w:t>
            </w:r>
          </w:p>
        </w:tc>
        <w:tc>
          <w:tcPr>
            <w:tcW w:type="dxa" w:w="741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React / Next.js; TypeScript; responsive, mobile-first, WCAG-aware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API gateway</w:t>
            </w:r>
          </w:p>
        </w:tc>
        <w:tc>
          <w:tcPr>
            <w:tcW w:type="dxa" w:w="7413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Kong / AWS API Gateway; OAuth2/OIDC; rate limiting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Services</w:t>
            </w:r>
          </w:p>
        </w:tc>
        <w:tc>
          <w:tcPr>
            <w:tcW w:type="dxa" w:w="741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Node.js / Java (Spring) microservices; REST (OpenAPI) + async events (Kafka)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Data</w:t>
            </w:r>
          </w:p>
        </w:tc>
        <w:tc>
          <w:tcPr>
            <w:tcW w:type="dxa" w:w="7413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PostgreSQL (transactional); object store (S3) for documents; OpenSearch (search); Redis (cache)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AI</w:t>
            </w:r>
          </w:p>
        </w:tc>
        <w:tc>
          <w:tcPr>
            <w:tcW w:type="dxa" w:w="741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Managed LLM + vector DB (RAG) in a private, DPDP-compliant enclave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Video/ODR</w:t>
            </w:r>
          </w:p>
        </w:tc>
        <w:tc>
          <w:tcPr>
            <w:tcW w:type="dxa" w:w="7413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WebRTC (self-host) or Zoom/Teams SDK; breakout rooms; consented recording</w:t>
            </w:r>
          </w:p>
        </w:tc>
      </w:tr>
      <w:tr>
        <w:trPr>
          <w:trHeight w:val="0"/>
        </w:trPr>
        <w:tc>
          <w:tcPr>
            <w:tcW w:type="dxa" w:w="209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Infra</w:t>
            </w:r>
          </w:p>
        </w:tc>
        <w:tc>
          <w:tcPr>
            <w:tcW w:type="dxa" w:w="741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Kubernetes; IaC (Terraform); India-region data residency; CI/CD</w:t>
            </w:r>
          </w:p>
        </w:tc>
      </w:tr>
    </w:tbl>
    <w:p>
      <w:pPr>
        <w:spacing w:after="80"/>
      </w:pPr>
    </w:p>
    <w:p>
      <w:pPr>
        <w:spacing w:before="20" w:after="200"/>
        <w:jc w:val="center"/>
      </w:pPr>
      <w:r>
        <w:rPr>
          <w:rFonts w:ascii="Calibri" w:hAnsi="Calibri"/>
          <w:b w:val="0"/>
          <w:i/>
          <w:color w:val="556168"/>
          <w:sz w:val="17"/>
        </w:rPr>
        <w:t>Table — Indicative stack.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Microservices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API Gateway: </w:t>
      </w:r>
      <w:r>
        <w:rPr>
          <w:rFonts w:ascii="Calibri" w:hAnsi="Calibri"/>
          <w:b w:val="0"/>
          <w:i w:val="0"/>
          <w:color w:val="1B2A32"/>
          <w:sz w:val="21"/>
        </w:rPr>
        <w:t>authn, routing, rate-limiting, versioning.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Case service: </w:t>
      </w:r>
      <w:r>
        <w:rPr>
          <w:rFonts w:ascii="Calibri" w:hAnsi="Calibri"/>
          <w:b w:val="0"/>
          <w:i w:val="0"/>
          <w:color w:val="1B2A32"/>
          <w:sz w:val="21"/>
        </w:rPr>
        <w:t>case lifecycle, state machine, triage, numbering.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Neutral service: </w:t>
      </w:r>
      <w:r>
        <w:rPr>
          <w:rFonts w:ascii="Calibri" w:hAnsi="Calibri"/>
          <w:b w:val="0"/>
          <w:i w:val="0"/>
          <w:color w:val="1B2A32"/>
          <w:sz w:val="21"/>
        </w:rPr>
        <w:t>panel, appointment, disclosure, conflict checks, grading.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Document service: </w:t>
      </w:r>
      <w:r>
        <w:rPr>
          <w:rFonts w:ascii="Calibri" w:hAnsi="Calibri"/>
          <w:b w:val="0"/>
          <w:i w:val="0"/>
          <w:color w:val="1B2A32"/>
          <w:sz w:val="21"/>
        </w:rPr>
        <w:t>upload, versioning, hashing, access control, e-sign/e-stamp orchestration.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AI service: </w:t>
      </w:r>
      <w:r>
        <w:rPr>
          <w:rFonts w:ascii="Calibri" w:hAnsi="Calibri"/>
          <w:b w:val="0"/>
          <w:i w:val="0"/>
          <w:color w:val="1B2A32"/>
          <w:sz w:val="21"/>
        </w:rPr>
        <w:t>RAG assistant, mechanism recommender, arbitrability check, drafting, copilots — guardrailed.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Video/ODR service: </w:t>
      </w:r>
      <w:r>
        <w:rPr>
          <w:rFonts w:ascii="Calibri" w:hAnsi="Calibri"/>
          <w:b w:val="0"/>
          <w:i w:val="0"/>
          <w:color w:val="1B2A32"/>
          <w:sz w:val="21"/>
        </w:rPr>
        <w:t>hearings, breakout caucus, recording with consent.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Payment &amp; escrow service: </w:t>
      </w:r>
      <w:r>
        <w:rPr>
          <w:rFonts w:ascii="Calibri" w:hAnsi="Calibri"/>
          <w:b w:val="0"/>
          <w:i w:val="0"/>
          <w:color w:val="1B2A32"/>
          <w:sz w:val="21"/>
        </w:rPr>
        <w:t>fees, invoicing, escrow set-up and conditional release.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Notification service: </w:t>
      </w:r>
      <w:r>
        <w:rPr>
          <w:rFonts w:ascii="Calibri" w:hAnsi="Calibri"/>
          <w:b w:val="0"/>
          <w:i w:val="0"/>
          <w:color w:val="1B2A32"/>
          <w:sz w:val="21"/>
        </w:rPr>
        <w:t>email/SMS/WhatsApp templated events.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Court-integration service: </w:t>
      </w:r>
      <w:r>
        <w:rPr>
          <w:rFonts w:ascii="Calibri" w:hAnsi="Calibri"/>
          <w:b w:val="0"/>
          <w:i w:val="0"/>
          <w:color w:val="1B2A32"/>
          <w:sz w:val="21"/>
        </w:rPr>
        <w:t>referral in/out, status sync, e-filing linkage.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Analytics service: </w:t>
      </w:r>
      <w:r>
        <w:rPr>
          <w:rFonts w:ascii="Calibri" w:hAnsi="Calibri"/>
          <w:b w:val="0"/>
          <w:i w:val="0"/>
          <w:color w:val="1B2A32"/>
          <w:sz w:val="21"/>
        </w:rPr>
        <w:t>KPIs, caseload, outcome and compliance dashboards.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Data Architecture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Transactional data in PostgreSQL (see the companion `schema.sql`), documents and awards in an encrypted object store with tamper-evident hashes, full-text search in OpenSearch, and an append-only </w:t>
      </w:r>
      <w:r>
        <w:rPr>
          <w:rFonts w:ascii="Calibri" w:hAnsi="Calibri"/>
          <w:b/>
          <w:i w:val="0"/>
          <w:color w:val="1B2A32"/>
          <w:sz w:val="21"/>
        </w:rPr>
        <w:t>audit log</w:t>
      </w:r>
      <w:r>
        <w:rPr>
          <w:rFonts w:ascii="Calibri" w:hAnsi="Calibri"/>
          <w:b w:val="0"/>
          <w:i w:val="0"/>
          <w:color w:val="1B2A32"/>
          <w:sz w:val="21"/>
        </w:rPr>
        <w:t>. Confidentiality rings are enforced at the data layer (row-level security) and the service layer.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5.  Security Architecture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OAuth2/OIDC with MFA for staff and neutrals; KYB-verified logins for parties.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Role-based + attribute-based access control; per-case confidentiality rings; caucus/deliberation walls.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Encryption in transit (TLS 1.2+) and at rest (AES-256); key management (KMS/HSM).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Immutable audit logging of every access and action; tamper-evident document hashes.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DPDP controls: consent management, data minimisation, retention &amp; erasure, breach notification.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Secrets management; environment separation; dependency &amp; vulnerability scanning; periodic pen-tests.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6.  AI Service Architecture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Retrieval-augmented generation over two curated corpora (Equator Rules; the legal framework in the Blueprint), a vector store, and a guarded orchestration layer that enforces the guardrails, citations, confidentiality-ring scoping and human-in-the-loop review. See the AI Evaluation &amp; Guardrail Specification. The LLM runs in a private enclave; no training on personal/commercial data without consent.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7.  Integrations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Identity/KYB: MCA/GST APIs, Aadhaar eSign, DSC.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Escrow/payments: RBI-regulated bank, UPI/NEFT/RTGS.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e-Stamping: SHCIL.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Video: WebRTC/Zoom/Teams.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Court/tribunal: e-Courts / High Court / NCLT e-filing (consent-based).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8.  Deployment, Scalability &amp; DR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Kubernetes with horizontal auto-scaling; India-region residency; blue-green/canary deploys; encrypted backups with tested restores; defined RPO/RTO; multi-AZ; and a documented incident-response runbook.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9.  Observability &amp; Compliance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Centralised logging, metrics and tracing; SLA and s.29A clock monitoring; KPI dashboards; and a compliance control plane mapping to the Compliance &amp; Security Workbook (ISO 27001 / SOC 2 roadmap).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Technical Architecture &amp; 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173CDD-0FDE-4695-92F0-8AEBFC17FDD5}"/>
</file>

<file path=customXml/itemProps3.xml><?xml version="1.0" encoding="utf-8"?>
<ds:datastoreItem xmlns:ds="http://schemas.openxmlformats.org/officeDocument/2006/customXml" ds:itemID="{0C001BCA-5AF1-42D5-8469-E2577CA71718}"/>
</file>

<file path=customXml/itemProps4.xml><?xml version="1.0" encoding="utf-8"?>
<ds:datastoreItem xmlns:ds="http://schemas.openxmlformats.org/officeDocument/2006/customXml" ds:itemID="{530AB0B6-986D-4177-996E-CD7AEB920C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