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Arbitration &amp;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Arbitrator &amp; Mediator Training Curriculum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The Equator Certified Commercial Neutral (ECCN) — syllabus, assessment and CPD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Commercial &amp; Business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 &amp; standard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Equator Certified Commercial Neutral (ECCN)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programme trains and certifies arbitrators and commercial mediators to a standard that will withstand scrutiny — by the parties, by a court on a section 34 challenge, and by the Arbitration Council once its grading framework is operative. It is designed to sit alongside, not replace, any statutory or Council requirement.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What this programme is really for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An award that is set aside is worse than no award at all — the parties have paid for delay. Most of this syllabus exists to prevent the handful of errors that actually get awards set aside: breach of natural justice, excess of jurisdiction, inadequate reasons, and undisclosed conflicts.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Structure &amp;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331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Hours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Foundation (M1–3)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 / online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Statutory framework and institutional practice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Arbitration track (M4–7)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32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+ mock hearing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Conduct of a reference to a defensible award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track (M8–10)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24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 with role-play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Commercial settlement skill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Specialisms (M11–12)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16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Workshop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MSME, construction, cross-border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Assessment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Mock hearing + written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Certification decision</w:t>
            </w:r>
          </w:p>
        </w:tc>
      </w:tr>
      <w:tr>
        <w:tc>
          <w:tcPr>
            <w:tcW w:type="dxa" w:w="331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Supervised practice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 references / 3 mediations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Live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confirmation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Total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100 hours + supervised practice</w:t>
            </w:r>
          </w:p>
        </w:tc>
        <w:tc>
          <w:tcPr>
            <w:tcW w:type="dxa" w:w="2304"/>
          </w:tcPr>
          <w:p>
            <w:r/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ECCN certificate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Syllabus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1 — Foundation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 · The framework.</w:t>
      </w:r>
      <w:r>
        <w:rPr>
          <w:rFonts w:ascii="Calibri" w:hAnsi="Calibri"/>
          <w:b w:val="0"/>
          <w:i w:val="0"/>
          <w:color w:val="1B2A32"/>
          <w:sz w:val="21"/>
        </w:rPr>
        <w:t xml:space="preserve"> Arbitration &amp; Conciliation Act, 1996 and the reform trajectory; Mediation Act, 2023; Commercial Courts Act s.12A; MSMED Act s.18.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M2 · Jurisdiction &amp; arbitrability.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arbitration agreement; kompetenz-kompetenz (s.16); the *Vidya Drolia* four-fold test; matters reserved to NCLT, DRT and criminal courts.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M3 · Institutional practice &amp; ethics.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Equator Rules; Fifth and Seventh Schedules; disclosure and challenge; the tribunal secretary's strict limits.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2 — Arbitration track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M4 · Constituting the reference.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Appointment, Terms of Reference, Procedural Order No. 1, the s.29A timetable.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M5 · Procedure &amp; evidence.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Document production, witness and expert evidence, hearings, and the expedited/documents-only route.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M6 · Interim relief.</w:t>
      </w:r>
      <w:r>
        <w:rPr>
          <w:rFonts w:ascii="Calibri" w:hAnsi="Calibri"/>
          <w:b w:val="0"/>
          <w:i w:val="0"/>
          <w:color w:val="1B2A32"/>
          <w:sz w:val="21"/>
        </w:rPr>
        <w:t xml:space="preserve"> s.17 powers, their interface with s.9, and emergency-arbitrator practice.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M7 · The award.</w:t>
      </w:r>
      <w:r>
        <w:rPr>
          <w:rFonts w:ascii="Calibri" w:hAnsi="Calibri"/>
          <w:b w:val="0"/>
          <w:i w:val="0"/>
          <w:color w:val="1B2A32"/>
          <w:sz w:val="21"/>
        </w:rPr>
        <w:t xml:space="preserve"> Reasoned awards under s.31; interest and costs; consent awards (s.30); avoiding the s.34 grounds — natural justice, excess of jurisdiction, patent illegality.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3 — Mediation track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M8 · Commercial mediation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Convening, joint and caucus sessions, managing counsel-heavy rooms.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M9 · Interests, options and impasse.</w:t>
      </w:r>
      <w:r>
        <w:rPr>
          <w:rFonts w:ascii="Calibri" w:hAnsi="Calibri"/>
          <w:b w:val="0"/>
          <w:i w:val="0"/>
          <w:color w:val="1B2A32"/>
          <w:sz w:val="21"/>
        </w:rPr>
        <w:t xml:space="preserve"> BATNA/WATNA reality-testing; structured deals — instalments, escrow milestones, future business, set-offs.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M10 · s.12A and MSME.</w:t>
      </w:r>
      <w:r>
        <w:rPr>
          <w:rFonts w:ascii="Calibri" w:hAnsi="Calibri"/>
          <w:b w:val="0"/>
          <w:i w:val="0"/>
          <w:color w:val="1B2A32"/>
          <w:sz w:val="21"/>
        </w:rPr>
        <w:t xml:space="preserve"> Pre-institution mediation in practice; MSME Samadhaan conciliation and the statutory interest position.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Part 4 — Specialisms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M11 · Sector practice.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Construction and infrastructure; supply and distribution; shareholder and JV; technology and IP.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M12 · Cross-border.</w:t>
      </w:r>
      <w:r>
        <w:rPr>
          <w:rFonts w:ascii="Calibri" w:hAnsi="Calibri"/>
          <w:b w:val="0"/>
          <w:i w:val="0"/>
          <w:color w:val="1B2A32"/>
          <w:sz w:val="21"/>
        </w:rPr>
        <w:t xml:space="preserve"> Seat and governing law; the New York Convention; the Singapore Convention position; enforcement of foreign awards.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172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Pass standard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Mock hearing (procedural conduct)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Fair process; both parties heard; no natural-justice error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Award drafting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30%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Must pass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— reasoned, complete, enforceable, within jurisdiction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Written paper (law &amp; jurisdiction)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60%; no fail in the arbitrability section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Mediation simulation</w:t>
            </w:r>
          </w:p>
        </w:tc>
        <w:tc>
          <w:tcPr>
            <w:tcW w:type="dxa" w:w="172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15%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Impartiality, structure, settlement facilitation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Ethics &amp; disclosure exercise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5%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Correctly identifies Schedule conflicts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Non-negotiable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A candidate who produces an award that would be vulnerable on natural-justice or jurisdiction grounds does not certify, whatever the overall score.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CPD &amp; recertification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47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403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minimum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Total CPD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 hours</w:t>
            </w:r>
          </w:p>
        </w:tc>
      </w:tr>
      <w:tr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case-law update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6 hours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— of which award-writing practice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4 hours</w:t>
            </w:r>
          </w:p>
        </w:tc>
      </w:tr>
      <w:tr>
        <w:tc>
          <w:tcPr>
            <w:tcW w:type="dxa" w:w="547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Peer review / award scrutiny participation</w:t>
            </w:r>
          </w:p>
        </w:tc>
        <w:tc>
          <w:tcPr>
            <w:tcW w:type="dxa" w:w="403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 awards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Recertification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Every 2 years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Commercial &amp; Business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FD298A-1246-4C3A-80B9-EA8B8B75B964}"/>
</file>

<file path=customXml/itemProps3.xml><?xml version="1.0" encoding="utf-8"?>
<ds:datastoreItem xmlns:ds="http://schemas.openxmlformats.org/officeDocument/2006/customXml" ds:itemID="{EFB96657-DAF9-43C9-80AE-E1877632183E}"/>
</file>

<file path=customXml/itemProps4.xml><?xml version="1.0" encoding="utf-8"?>
<ds:datastoreItem xmlns:ds="http://schemas.openxmlformats.org/officeDocument/2006/customXml" ds:itemID="{3CBAF674-6C67-4DCA-91F1-3BCA012679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