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cs="Calibri"/>
          <w:b/>
          <w:i w:val="0"/>
          <w:color w:val="123B4F"/>
          <w:sz w:val="28"/>
        </w:rPr>
        <w:t>EQUATOR RESOLUTION</w:t>
      </w:r>
    </w:p>
    <w:p>
      <w:pPr>
        <w:spacing w:after="40"/>
        <w:jc w:val="center"/>
      </w:pPr>
      <w:r>
        <w:rPr>
          <w:rFonts w:ascii="Calibri" w:hAnsi="Calibri" w:cs="Calibri"/>
          <w:b w:val="0"/>
          <w:i w:val="0"/>
          <w:color w:val="556168"/>
          <w:sz w:val="19"/>
        </w:rPr>
        <w:t>www.equatorresolution.com</w:t>
      </w:r>
    </w:p>
    <w:p>
      <w:pPr>
        <w:pBdr>
          <w:bottom w:val="single" w:sz="14" w:space="1" w:color="C6A15B"/>
        </w:pBdr>
      </w:pPr>
    </w:p>
    <w:p>
      <w:pPr>
        <w:spacing w:before="160"/>
        <w:jc w:val="center"/>
      </w:pPr>
      <w:r>
        <w:rPr>
          <w:rFonts w:ascii="Nirmala UI" w:hAnsi="Nirmala UI" w:cs="Nirmala UI"/>
          <w:b/>
          <w:i w:val="0"/>
          <w:color w:val="123B4F"/>
          <w:sz w:val="40"/>
        </w:rPr>
        <w:t>व्यावसायिक विवाद — व्यवसायों के लिए मार्गदर्शिका</w:t>
      </w:r>
    </w:p>
    <w:p>
      <w:pPr>
        <w:jc w:val="center"/>
      </w:pPr>
      <w:r>
        <w:rPr>
          <w:rFonts w:ascii="Calibri" w:hAnsi="Calibri" w:cs="Calibri"/>
          <w:b w:val="0"/>
          <w:i/>
          <w:color w:val="1E7A8C"/>
          <w:sz w:val="23"/>
        </w:rPr>
        <w:t>Commercial disputes — a guide for businesses</w:t>
      </w:r>
    </w:p>
    <w:p>
      <w:pPr>
        <w:jc w:val="center"/>
      </w:pPr>
      <w:r>
        <w:rPr>
          <w:rFonts w:ascii="Nirmala UI" w:hAnsi="Nirmala UI" w:cs="Nirmala UI"/>
          <w:b w:val="0"/>
          <w:i/>
          <w:color w:val="556168"/>
          <w:sz w:val="22"/>
        </w:rPr>
        <w:t>अनुबंध, भुगतान, MSME और साझेदारी विवाद</w:t>
      </w:r>
    </w:p>
    <w:p>
      <w:pPr>
        <w:spacing w:after="140"/>
      </w:pPr>
      <w:r>
        <w:rPr>
          <w:rFonts w:ascii="Nirmala UI" w:hAnsi="Nirmala UI" w:cs="Nirmala UI"/>
          <w:b/>
          <w:i w:val="0"/>
          <w:color w:val="1B2A32"/>
          <w:sz w:val="23"/>
        </w:rPr>
        <w:t>Equator Resolution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 एक संस्थागत मध्यस्थता एवं पंचाट (arbitration) केंद्र है जो व्यावसायिक विवादों को </w:t>
      </w:r>
      <w:r>
        <w:rPr>
          <w:rFonts w:ascii="Nirmala UI" w:hAnsi="Nirmala UI" w:cs="Nirmala UI"/>
          <w:b/>
          <w:i w:val="0"/>
          <w:color w:val="1B2A32"/>
          <w:sz w:val="23"/>
        </w:rPr>
        <w:t>महीनों में, वर्षों में नहीं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 सुलझाता — गोपनीय रूप से और कानूनी रूप से लागू करने योग्य परिणाम के साथ।</w:t>
      </w:r>
    </w:p>
    <w:p>
      <w:pPr>
        <w:spacing w:before="220" w:after="60"/>
      </w:pPr>
      <w:r>
        <w:rPr>
          <w:rFonts w:ascii="Nirmala UI" w:hAnsi="Nirmala UI" w:cs="Nirmala UI"/>
          <w:b/>
          <w:i w:val="0"/>
          <w:color w:val="123B4F"/>
          <w:sz w:val="28"/>
        </w:rPr>
        <w:t>किन विवादों में</w:t>
      </w:r>
    </w:p>
    <w:p>
      <w:pPr>
        <w:pStyle w:val="ListBullet"/>
        <w:spacing w:after="80"/>
      </w:pPr>
      <w:r>
        <w:rPr>
          <w:rFonts w:ascii="Nirmala UI" w:hAnsi="Nirmala UI" w:cs="Nirmala UI"/>
          <w:b/>
          <w:i w:val="0"/>
          <w:color w:val="1B2A32"/>
          <w:sz w:val="23"/>
        </w:rPr>
        <w:t>अनुबंध भंग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 और हर्जाना</w:t>
      </w:r>
    </w:p>
    <w:p>
      <w:pPr>
        <w:pStyle w:val="ListBullet"/>
        <w:spacing w:after="80"/>
      </w:pPr>
      <w:r>
        <w:rPr>
          <w:rFonts w:ascii="Nirmala UI" w:hAnsi="Nirmala UI" w:cs="Nirmala UI"/>
          <w:b/>
          <w:i w:val="0"/>
          <w:color w:val="1B2A32"/>
          <w:sz w:val="23"/>
        </w:rPr>
        <w:t>भुगतान एवं वसूली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; </w:t>
      </w:r>
      <w:r>
        <w:rPr>
          <w:rFonts w:ascii="Nirmala UI" w:hAnsi="Nirmala UI" w:cs="Nirmala UI"/>
          <w:b/>
          <w:i w:val="0"/>
          <w:color w:val="1B2A32"/>
          <w:sz w:val="23"/>
        </w:rPr>
        <w:t>MSME विलंबित भुगतान</w:t>
      </w:r>
    </w:p>
    <w:p>
      <w:pPr>
        <w:pStyle w:val="ListBullet"/>
        <w:spacing w:after="80"/>
      </w:pPr>
      <w:r>
        <w:rPr>
          <w:rFonts w:ascii="Nirmala UI" w:hAnsi="Nirmala UI" w:cs="Nirmala UI"/>
          <w:b/>
          <w:i w:val="0"/>
          <w:color w:val="1B2A32"/>
          <w:sz w:val="23"/>
        </w:rPr>
        <w:t>आपूर्ति, विक्रेता एवं वितरण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 विवाद</w:t>
      </w:r>
    </w:p>
    <w:p>
      <w:pPr>
        <w:pStyle w:val="ListBullet"/>
        <w:spacing w:after="80"/>
      </w:pPr>
      <w:r>
        <w:rPr>
          <w:rFonts w:ascii="Nirmala UI" w:hAnsi="Nirmala UI" w:cs="Nirmala UI"/>
          <w:b/>
          <w:i w:val="0"/>
          <w:color w:val="1B2A32"/>
          <w:sz w:val="23"/>
        </w:rPr>
        <w:t>शेयरधारक, JV एवं साझेदारी</w:t>
      </w:r>
    </w:p>
    <w:p>
      <w:pPr>
        <w:pStyle w:val="ListBullet"/>
        <w:spacing w:after="80"/>
      </w:pPr>
      <w:r>
        <w:rPr>
          <w:rFonts w:ascii="Nirmala UI" w:hAnsi="Nirmala UI" w:cs="Nirmala UI"/>
          <w:b/>
          <w:i w:val="0"/>
          <w:color w:val="1B2A32"/>
          <w:sz w:val="23"/>
        </w:rPr>
        <w:t>निर्माण एवं अवसंरचना</w:t>
      </w:r>
    </w:p>
    <w:p>
      <w:pPr>
        <w:spacing w:before="220" w:after="60"/>
      </w:pPr>
      <w:r>
        <w:rPr>
          <w:rFonts w:ascii="Nirmala UI" w:hAnsi="Nirmala UI" w:cs="Nirmala UI"/>
          <w:b/>
          <w:i w:val="0"/>
          <w:color w:val="123B4F"/>
          <w:sz w:val="28"/>
        </w:rPr>
        <w:t>व्यवसाय Equator को क्यों चुनते हैं</w:t>
      </w:r>
    </w:p>
    <w:p>
      <w:pPr>
        <w:pStyle w:val="ListBullet"/>
        <w:spacing w:after="80"/>
      </w:pPr>
      <w:r>
        <w:rPr>
          <w:rFonts w:ascii="Nirmala UI" w:hAnsi="Nirmala UI" w:cs="Nirmala UI"/>
          <w:b/>
          <w:i w:val="0"/>
          <w:color w:val="1B2A32"/>
          <w:sz w:val="23"/>
        </w:rPr>
        <w:t>बाध्यकारी एवं लागू करने योग्य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 — पंचाट अवार्ड और समझौते अदालत के डिक्री की तरह लागू।</w:t>
      </w:r>
    </w:p>
    <w:p>
      <w:pPr>
        <w:pStyle w:val="ListBullet"/>
        <w:spacing w:after="80"/>
      </w:pPr>
      <w:r>
        <w:rPr>
          <w:rFonts w:ascii="Nirmala UI" w:hAnsi="Nirmala UI" w:cs="Nirmala UI"/>
          <w:b/>
          <w:i w:val="0"/>
          <w:color w:val="1B2A32"/>
          <w:sz w:val="23"/>
        </w:rPr>
        <w:t>समयबद्ध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 — अवार्ड 12 माह में (धारा 29A); s.12A मध्यस्थता 3 माह में; MSME लगभग 90 दिन।</w:t>
      </w:r>
    </w:p>
    <w:p>
      <w:pPr>
        <w:pStyle w:val="ListBullet"/>
        <w:spacing w:after="80"/>
      </w:pPr>
      <w:r>
        <w:rPr>
          <w:rFonts w:ascii="Nirmala UI" w:hAnsi="Nirmala UI" w:cs="Nirmala UI"/>
          <w:b/>
          <w:i w:val="0"/>
          <w:color w:val="1B2A32"/>
          <w:sz w:val="23"/>
        </w:rPr>
        <w:t>संस्थागत गुणवत्ता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 — प्रकाशित नियम, श्रेणीबद्ध एवं हितों-की-जाँच किए गए तटस्थ व्यक्ति।</w:t>
      </w:r>
    </w:p>
    <w:p>
      <w:pPr>
        <w:pStyle w:val="ListBullet"/>
        <w:spacing w:after="80"/>
      </w:pPr>
      <w:r>
        <w:rPr>
          <w:rFonts w:ascii="Nirmala UI" w:hAnsi="Nirmala UI" w:cs="Nirmala UI"/>
          <w:b/>
          <w:i w:val="0"/>
          <w:color w:val="1B2A32"/>
          <w:sz w:val="23"/>
        </w:rPr>
        <w:t>पैसा सुरक्षित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 — एस्क्रो में रखा जाता है और शर्तें पूरी होने पर जारी।</w:t>
      </w:r>
    </w:p>
    <w:p>
      <w:pPr>
        <w:pStyle w:val="ListBullet"/>
        <w:spacing w:after="80"/>
      </w:pPr>
      <w:r>
        <w:rPr>
          <w:rFonts w:ascii="Nirmala UI" w:hAnsi="Nirmala UI" w:cs="Nirmala UI"/>
          <w:b/>
          <w:i w:val="0"/>
          <w:color w:val="1B2A32"/>
          <w:sz w:val="23"/>
        </w:rPr>
        <w:t>गोपनीय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 — आपका विवाद सार्वजनिक रिकॉर्ड में नहीं आता।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5ECD6"/>
            <w:tcBorders>
              <w:start w:val="single" w:sz="18" w:space="0" w:color="C6A15B"/>
            </w:tcBorders>
          </w:tcPr>
          <w:p>
            <w:r>
              <w:rPr>
                <w:rFonts w:ascii="Nirmala UI" w:hAnsi="Nirmala UI" w:cs="Nirmala UI"/>
                <w:b w:val="0"/>
                <w:i w:val="0"/>
                <w:color w:val="123B4F"/>
                <w:sz w:val="20"/>
              </w:rPr>
              <w:t>अपने अनुबंधों में **Equator ADR क्लॉज़** जोड़ें, ताकि भविष्य के विवाद तेज़ी से और भरोसेमंद संस्था के माध्यम से सुलझें। मॉडल क्लॉज़ और शुल्क-अनुमान के लिए हमसे संपर्क करें।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Nirmala UI" w:hAnsi="Nirmala UI" w:cs="Nirmala UI"/>
          <w:b w:val="0"/>
          <w:i/>
          <w:color w:val="1B2A32"/>
          <w:sz w:val="17"/>
        </w:rPr>
        <w:t>यह पर्चा सामान्य जानकारी है, कानूनी सलाह नहीं।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Nirmala UI" w:hAnsi="Nirmala UI"/>
      <w:color w:val="1B2A32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21DA745-6DF4-4986-963B-585FDDA91EA9}"/>
</file>

<file path=customXml/itemProps3.xml><?xml version="1.0" encoding="utf-8"?>
<ds:datastoreItem xmlns:ds="http://schemas.openxmlformats.org/officeDocument/2006/customXml" ds:itemID="{ACEA8235-B614-4C36-855A-ACC4B4D9FA09}"/>
</file>

<file path=customXml/itemProps4.xml><?xml version="1.0" encoding="utf-8"?>
<ds:datastoreItem xmlns:ds="http://schemas.openxmlformats.org/officeDocument/2006/customXml" ds:itemID="{8B40C711-56D7-49D4-9B47-1AE23EE99BF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