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jc w:val="center"/>
      </w:pPr>
      <w:r>
        <w:rPr>
          <w:rFonts w:ascii="Calibri" w:hAnsi="Calibri"/>
          <w:b/>
          <w:i w:val="0"/>
          <w:color w:val="123B4F"/>
          <w:sz w:val="60"/>
        </w:rPr>
        <w:t>EQUATOR RESOLUTION</w:t>
      </w:r>
    </w:p>
    <w:p>
      <w:pPr>
        <w:spacing w:after="40"/>
        <w:jc w:val="center"/>
      </w:pPr>
      <w:r>
        <w:rPr>
          <w:rFonts w:ascii="Calibri" w:hAnsi="Calibri"/>
          <w:b w:val="0"/>
          <w:i/>
          <w:color w:val="1E7A8C"/>
          <w:sz w:val="25"/>
        </w:rPr>
        <w:t>Institutional Mediation, Conciliation &amp; Arbitration</w:t>
      </w:r>
    </w:p>
    <w:p>
      <w:pPr>
        <w:jc w:val="center"/>
        <w:pBdr>
          <w:bottom w:val="single" w:sz="18" w:space="3" w:color="C6A15B"/>
        </w:pBdr>
      </w:pPr>
      <w:r>
        <w:rPr>
          <w:rFonts w:ascii="Calibri" w:hAnsi="Calibri"/>
          <w:b w:val="0"/>
          <w:i w:val="0"/>
          <w:color w:val="556168"/>
          <w:sz w:val="19"/>
        </w:rPr>
        <w:t>www.equatorresolution.com   ·   An Infrabyx Group Venture</w:t>
      </w:r>
    </w:p>
    <w:p>
      <w:pPr>
        <w:spacing w:after="200"/>
      </w:pPr>
    </w:p>
    <w:p>
      <w:pPr>
        <w:spacing w:after="200"/>
      </w:pPr>
    </w:p>
    <w:p>
      <w:pPr>
        <w:spacing w:after="80"/>
        <w:jc w:val="center"/>
      </w:pPr>
      <w:r>
        <w:rPr>
          <w:rFonts w:ascii="Calibri" w:hAnsi="Calibri"/>
          <w:b/>
          <w:i w:val="0"/>
          <w:color w:val="123B4F"/>
          <w:sz w:val="50"/>
        </w:rPr>
        <w:t>Financial &amp; Loan Dispute Resolution</w:t>
      </w:r>
    </w:p>
    <w:p>
      <w:pPr>
        <w:jc w:val="center"/>
      </w:pPr>
      <w:r>
        <w:rPr>
          <w:rFonts w:ascii="Calibri" w:hAnsi="Calibri"/>
          <w:b w:val="0"/>
          <w:i w:val="0"/>
          <w:color w:val="1E7A8C"/>
          <w:sz w:val="30"/>
        </w:rPr>
        <w:t>Platform Design, Legal Framework &amp; Operating Blueprint</w:t>
      </w:r>
    </w:p>
    <w:p>
      <w:pPr>
        <w:spacing w:before="120"/>
        <w:jc w:val="center"/>
      </w:pPr>
      <w:r>
        <w:rPr>
          <w:rFonts w:ascii="Calibri" w:hAnsi="Calibri"/>
          <w:b w:val="0"/>
          <w:i/>
          <w:color w:val="1B2A32"/>
          <w:sz w:val="22"/>
        </w:rPr>
        <w:t>Resolving borrower–lender disputes, one-time settlements, cheque-bounce matters,</w:t>
        <w:br/>
        <w:t>digital-lending grievances and recovery disputes — fast, fair, and enforceable.</w:t>
      </w:r>
    </w:p>
    <w:p>
      <w:pPr>
        <w:spacing w:after="200"/>
      </w:pPr>
    </w:p>
    <w:p>
      <w:pPr>
        <w:spacing w:after="200"/>
      </w:pPr>
    </w:p>
    <w:p>
      <w:pPr>
        <w:spacing w:after="200"/>
      </w:pPr>
    </w:p>
    <w:tbl>
      <w:tblPr>
        <w:tblW w:type="auto" w:w="0"/>
        <w:jc w:val="center"/>
        <w:tblLayout w:type="fixed"/>
        <w:tblLook w:firstColumn="1" w:firstRow="1" w:lastColumn="0" w:lastRow="0" w:noHBand="0" w:noVBand="1" w:val="04A0"/>
        <w:tblBorders>
          <w:top w:val="single" w:sz="6" w:space="0" w:color="C6A15B"/>
          <w:left w:val="single" w:sz="6" w:space="0" w:color="C6A15B"/>
          <w:bottom w:val="single" w:sz="6" w:space="0" w:color="C6A15B"/>
          <w:right w:val="single" w:sz="6" w:space="0" w:color="C6A15B"/>
          <w:insideH w:val="single" w:sz="6" w:space="0" w:color="C6A15B"/>
          <w:insideV w:val="single" w:sz="6" w:space="0" w:color="C6A15B"/>
        </w:tblBorders>
      </w:tblPr>
      <w:tblGrid>
        <w:gridCol w:w="4752"/>
        <w:gridCol w:w="4752"/>
      </w:tblGrid>
      <w:tr>
        <w:tc>
          <w:tcPr>
            <w:tcW w:type="dxa" w:w="3024"/>
            <w:shd w:val="clear" w:color="auto" w:fill="123B4F"/>
            <w:tcMar>
              <w:top w:w="60" w:type="dxa"/>
              <w:bottom w:w="60" w:type="dxa"/>
              <w:start w:w="110" w:type="dxa"/>
              <w:end w:w="110" w:type="dxa"/>
            </w:tcMar>
          </w:tcPr>
          <w:p>
            <w:r>
              <w:rPr>
                <w:rFonts w:ascii="Calibri" w:hAnsi="Calibri"/>
                <w:b/>
                <w:i w:val="0"/>
                <w:color w:val="FFFFFF"/>
                <w:sz w:val="19"/>
              </w:rPr>
              <w:t>Document</w:t>
            </w:r>
          </w:p>
          <w:p>
            <w:r>
              <w:rPr>
                <w:rFonts w:ascii="Calibri" w:hAnsi="Calibri"/>
                <w:b/>
                <w:i w:val="0"/>
                <w:color w:val="FFFFFF"/>
                <w:sz w:val="19"/>
              </w:rPr>
              <w:t>Version / Date</w:t>
            </w:r>
          </w:p>
          <w:p>
            <w:r>
              <w:rPr>
                <w:rFonts w:ascii="Calibri" w:hAnsi="Calibri"/>
                <w:b/>
                <w:i w:val="0"/>
                <w:color w:val="FFFFFF"/>
                <w:sz w:val="19"/>
              </w:rPr>
              <w:t>Prepared for</w:t>
            </w:r>
          </w:p>
          <w:p>
            <w:r>
              <w:rPr>
                <w:rFonts w:ascii="Calibri" w:hAnsi="Calibri"/>
                <w:b/>
                <w:i w:val="0"/>
                <w:color w:val="FFFFFF"/>
                <w:sz w:val="19"/>
              </w:rPr>
              <w:t>Regulatory basis</w:t>
            </w:r>
          </w:p>
          <w:p>
            <w:r>
              <w:rPr>
                <w:rFonts w:ascii="Calibri" w:hAnsi="Calibri"/>
                <w:b/>
                <w:i w:val="0"/>
                <w:color w:val="FFFFFF"/>
                <w:sz w:val="19"/>
              </w:rPr>
              <w:t>Classification</w:t>
            </w:r>
          </w:p>
          <w:p>
            <w:r>
              <w:rPr>
                <w:rFonts w:ascii="Calibri" w:hAnsi="Calibri"/>
                <w:b/>
                <w:i w:val="0"/>
                <w:color w:val="FFFFFF"/>
                <w:sz w:val="19"/>
              </w:rPr>
              <w:t>Companion assets</w:t>
            </w:r>
          </w:p>
        </w:tc>
        <w:tc>
          <w:tcPr>
            <w:tcW w:type="dxa" w:w="6336"/>
            <w:shd w:val="clear" w:color="auto" w:fill="DCEAEF"/>
            <w:tcMar>
              <w:top w:w="60" w:type="dxa"/>
              <w:bottom w:w="60" w:type="dxa"/>
              <w:start w:w="110" w:type="dxa"/>
              <w:end w:w="110" w:type="dxa"/>
            </w:tcMar>
          </w:tcPr>
          <w:p>
            <w:r>
              <w:rPr>
                <w:rFonts w:ascii="Calibri" w:hAnsi="Calibri"/>
                <w:b w:val="0"/>
                <w:i w:val="0"/>
                <w:color w:val="1B2A32"/>
                <w:sz w:val="19"/>
              </w:rPr>
              <w:t>Master Blueprint — Financial &amp; Loan Vertical</w:t>
            </w:r>
          </w:p>
          <w:p>
            <w:r>
              <w:rPr>
                <w:rFonts w:ascii="Calibri" w:hAnsi="Calibri"/>
                <w:b w:val="0"/>
                <w:i w:val="0"/>
                <w:color w:val="1B2A32"/>
                <w:sz w:val="19"/>
              </w:rPr>
              <w:t>Version 1.0  ·  July 2026</w:t>
            </w:r>
          </w:p>
          <w:p>
            <w:r>
              <w:rPr>
                <w:rFonts w:ascii="Calibri" w:hAnsi="Calibri"/>
                <w:b w:val="0"/>
                <w:i w:val="0"/>
                <w:color w:val="1B2A32"/>
                <w:sz w:val="19"/>
              </w:rPr>
              <w:t>Equator Resolution (Infrabyx Group)</w:t>
            </w:r>
          </w:p>
          <w:p>
            <w:r>
              <w:rPr>
                <w:rFonts w:ascii="Calibri" w:hAnsi="Calibri"/>
                <w:b w:val="0"/>
                <w:i w:val="0"/>
                <w:color w:val="1B2A32"/>
                <w:sz w:val="19"/>
              </w:rPr>
              <w:t>Mediation Act 2023; RBI Integrated Ombudsman Scheme 2021; RBI Digital Lending Directions 2025; NI Act 1881; Arbitration Act 1996</w:t>
            </w:r>
          </w:p>
          <w:p>
            <w:r>
              <w:rPr>
                <w:rFonts w:ascii="Calibri" w:hAnsi="Calibri"/>
                <w:b w:val="0"/>
                <w:i w:val="0"/>
                <w:color w:val="1B2A32"/>
                <w:sz w:val="19"/>
              </w:rPr>
              <w:t>Strictly Confidential — Internal &amp; Advisory</w:t>
            </w:r>
          </w:p>
          <w:p>
            <w:r>
              <w:rPr>
                <w:rFonts w:ascii="Calibri" w:hAnsi="Calibri"/>
                <w:b w:val="0"/>
                <w:i w:val="0"/>
                <w:color w:val="1B2A32"/>
                <w:sz w:val="19"/>
              </w:rPr>
              <w:t>Forms Pack · Developer Workbook · Diagrams · Calculators · Deck · Prototype</w:t>
            </w:r>
          </w:p>
        </w:tc>
      </w:tr>
    </w:tbl>
    <w:p>
      <w:r>
        <w:br w:type="page"/>
      </w:r>
    </w:p>
    <w:p>
      <w:pPr>
        <w:keepNext/>
        <w:spacing w:before="320" w:after="140"/>
        <w:pBdr>
          <w:bottom w:val="single" w:sz="12" w:space="3" w:color="C6A15B"/>
        </w:pBdr>
      </w:pPr>
      <w:r>
        <w:rPr>
          <w:rFonts w:ascii="Calibri" w:hAnsi="Calibri"/>
          <w:b/>
          <w:i w:val="0"/>
          <w:color w:val="123B4F"/>
          <w:sz w:val="34"/>
        </w:rPr>
        <w:t>Important Notice, Scope &amp; How to Use This Document</w:t>
      </w:r>
    </w:p>
    <w:p>
      <w:pPr>
        <w:spacing w:after="140"/>
        <w:jc w:val="both"/>
      </w:pPr>
      <w:r>
        <w:rPr>
          <w:rFonts w:ascii="Calibri" w:hAnsi="Calibri"/>
          <w:b w:val="0"/>
          <w:i w:val="0"/>
          <w:color w:val="1B2A32"/>
          <w:sz w:val="21"/>
        </w:rPr>
        <w:t xml:space="preserve">This Blueprint guides the build-out and operation of Equator Resolution's </w:t>
      </w:r>
      <w:r>
        <w:rPr>
          <w:rFonts w:ascii="Calibri" w:hAnsi="Calibri"/>
          <w:b/>
          <w:i w:val="0"/>
          <w:color w:val="1B2A32"/>
          <w:sz w:val="21"/>
        </w:rPr>
        <w:t>Financial &amp; Loan Dispute Resolution</w:t>
      </w:r>
      <w:r>
        <w:rPr>
          <w:rFonts w:ascii="Calibri" w:hAnsi="Calibri"/>
          <w:b w:val="0"/>
          <w:i w:val="0"/>
          <w:color w:val="1B2A32"/>
          <w:sz w:val="21"/>
        </w:rPr>
        <w:t xml:space="preserve"> vertical. It frames the </w:t>
      </w:r>
      <w:r>
        <w:rPr>
          <w:rFonts w:ascii="Calibri" w:hAnsi="Calibri"/>
          <w:b/>
          <w:i w:val="0"/>
          <w:color w:val="1B2A32"/>
          <w:sz w:val="21"/>
        </w:rPr>
        <w:t>opportunity</w:t>
      </w:r>
      <w:r>
        <w:rPr>
          <w:rFonts w:ascii="Calibri" w:hAnsi="Calibri"/>
          <w:b w:val="0"/>
          <w:i w:val="0"/>
          <w:color w:val="1B2A32"/>
          <w:sz w:val="21"/>
        </w:rPr>
        <w:t xml:space="preserve">, sets out the </w:t>
      </w:r>
      <w:r>
        <w:rPr>
          <w:rFonts w:ascii="Calibri" w:hAnsi="Calibri"/>
          <w:b/>
          <w:i w:val="0"/>
          <w:color w:val="1B2A32"/>
          <w:sz w:val="21"/>
        </w:rPr>
        <w:t>legal and regulatory framework</w:t>
      </w:r>
      <w:r>
        <w:rPr>
          <w:rFonts w:ascii="Calibri" w:hAnsi="Calibri"/>
          <w:b w:val="0"/>
          <w:i w:val="0"/>
          <w:color w:val="1B2A32"/>
          <w:sz w:val="21"/>
        </w:rPr>
        <w:t xml:space="preserve"> for borrower–lender disputes in India, and specifies the </w:t>
      </w:r>
      <w:r>
        <w:rPr>
          <w:rFonts w:ascii="Calibri" w:hAnsi="Calibri"/>
          <w:b/>
          <w:i w:val="0"/>
          <w:color w:val="1B2A32"/>
          <w:sz w:val="21"/>
        </w:rPr>
        <w:t>platform, forms and procedure</w:t>
      </w:r>
      <w:r>
        <w:rPr>
          <w:rFonts w:ascii="Calibri" w:hAnsi="Calibri"/>
          <w:b w:val="0"/>
          <w:i w:val="0"/>
          <w:color w:val="1B2A32"/>
          <w:sz w:val="21"/>
        </w:rPr>
        <w:t xml:space="preserve"> the product and operations teams will implement. Equator is a </w:t>
      </w:r>
      <w:r>
        <w:rPr>
          <w:rFonts w:ascii="Calibri" w:hAnsi="Calibri"/>
          <w:b/>
          <w:i w:val="0"/>
          <w:color w:val="1B2A32"/>
          <w:sz w:val="21"/>
        </w:rPr>
        <w:t>mediation, conciliation and (where a clause exists) arbitration</w:t>
      </w:r>
      <w:r>
        <w:rPr>
          <w:rFonts w:ascii="Calibri" w:hAnsi="Calibri"/>
          <w:b w:val="0"/>
          <w:i w:val="0"/>
          <w:color w:val="1B2A32"/>
          <w:sz w:val="21"/>
        </w:rPr>
        <w:t xml:space="preserve"> provider; it </w:t>
      </w:r>
      <w:r>
        <w:rPr>
          <w:rFonts w:ascii="Calibri" w:hAnsi="Calibri"/>
          <w:b/>
          <w:i w:val="0"/>
          <w:color w:val="1B2A32"/>
          <w:sz w:val="21"/>
        </w:rPr>
        <w:t>complements</w:t>
      </w:r>
      <w:r>
        <w:rPr>
          <w:rFonts w:ascii="Calibri" w:hAnsi="Calibri"/>
          <w:b w:val="0"/>
          <w:i w:val="0"/>
          <w:color w:val="1B2A32"/>
          <w:sz w:val="21"/>
        </w:rPr>
        <w:t xml:space="preserve"> the special forums — the Debts Recovery Tribunals, the RBI Ombudsman and the consumer commissions — by resolving the disputes and settlements that those forums do not, and by helping parties navigate to the right forum.</w:t>
      </w:r>
    </w:p>
    <w:p>
      <w:pPr>
        <w:spacing w:after="140"/>
        <w:jc w:val="both"/>
      </w:pPr>
      <w:r>
        <w:rPr>
          <w:rFonts w:ascii="Calibri" w:hAnsi="Calibri"/>
          <w:b w:val="0"/>
          <w:i w:val="0"/>
          <w:color w:val="1B2A32"/>
          <w:sz w:val="21"/>
        </w:rPr>
        <w:t xml:space="preserve">The legal content is </w:t>
      </w:r>
      <w:r>
        <w:rPr>
          <w:rFonts w:ascii="Calibri" w:hAnsi="Calibri"/>
          <w:b/>
          <w:i w:val="0"/>
          <w:color w:val="1B2A32"/>
          <w:sz w:val="21"/>
        </w:rPr>
        <w:t>layered</w:t>
      </w:r>
      <w:r>
        <w:rPr>
          <w:rFonts w:ascii="Calibri" w:hAnsi="Calibri"/>
          <w:b w:val="0"/>
          <w:i w:val="0"/>
          <w:color w:val="1B2A32"/>
          <w:sz w:val="21"/>
        </w:rPr>
        <w:t>: each area opens with a plain-language summary, then deeper analysis, with statutes and cases flagged in “Legal Basis” boxes and consolidated in the annexures. The law is stated as of July 2026, including the RBI Integrated Ombudsman Scheme, 2021, the RBI (Digital Lending) Directions, 2025, the Mediation Act, 2023, and the Bharatiya Nyaya Sanhita / Bharatiya Nagarik Suraksha Sanhita, 2023 where criminal provisions apply.</w:t>
      </w: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 xml:space="preserve">This document is not a substitute for case-specific legal advice. Equator is neutral; it does not represent borrower or lender and does not practise law. Recovery under SARFAESI and the DRT, and complaints to the RBI Ombudsman, are </w:t>
            </w:r>
            <w:r>
              <w:rPr>
                <w:rFonts w:ascii="Calibri" w:hAnsi="Calibri"/>
                <w:b/>
                <w:i w:val="0"/>
                <w:color w:val="1B2A32"/>
                <w:sz w:val="20"/>
              </w:rPr>
              <w:t>special statutory routes</w:t>
            </w:r>
            <w:r>
              <w:rPr>
                <w:rFonts w:ascii="Calibri" w:hAnsi="Calibri"/>
                <w:b w:val="0"/>
                <w:i w:val="0"/>
                <w:color w:val="1B2A32"/>
                <w:sz w:val="20"/>
              </w:rPr>
              <w:t xml:space="preserve"> that Equator does not replace — it resolves the mediatable and arbitrable disputes and the settlements around them.</w:t>
            </w:r>
          </w:p>
        </w:tc>
      </w:tr>
    </w:tbl>
    <w:p>
      <w:pPr>
        <w:spacing w:after="120"/>
      </w:pPr>
    </w:p>
    <w:p>
      <w:pPr>
        <w:keepNext/>
        <w:spacing w:before="220" w:after="80"/>
      </w:pPr>
      <w:r>
        <w:rPr>
          <w:rFonts w:ascii="Calibri" w:hAnsi="Calibri"/>
          <w:b/>
          <w:i w:val="0"/>
          <w:color w:val="1E7A8C"/>
          <w:sz w:val="26"/>
        </w:rPr>
        <w:t>Document control &amp; approval</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9"/>
              </w:rPr>
              <w:t>Item</w:t>
            </w:r>
          </w:p>
        </w:tc>
        <w:tc>
          <w:tcPr>
            <w:tcW w:type="dxa" w:w="7223"/>
            <w:shd w:val="clear" w:color="auto" w:fill="123B4F"/>
            <w:tcMar>
              <w:top w:w="60" w:type="dxa"/>
              <w:bottom w:w="60" w:type="dxa"/>
              <w:start w:w="110" w:type="dxa"/>
              <w:end w:w="110" w:type="dxa"/>
            </w:tcMar>
          </w:tcPr>
          <w:p>
            <w:pPr>
              <w:spacing w:after="0"/>
            </w:pPr>
            <w:r>
              <w:rPr>
                <w:rFonts w:ascii="Calibri" w:hAnsi="Calibri"/>
                <w:b/>
                <w:i w:val="0"/>
                <w:color w:val="FFFFFF"/>
                <w:sz w:val="19"/>
              </w:rPr>
              <w:t>Detail</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Version</w:t>
            </w:r>
          </w:p>
        </w:tc>
        <w:tc>
          <w:tcPr>
            <w:tcW w:type="dxa" w:w="7223"/>
            <w:tcMar>
              <w:top w:w="60" w:type="dxa"/>
              <w:bottom w:w="60" w:type="dxa"/>
              <w:start w:w="110" w:type="dxa"/>
              <w:end w:w="110" w:type="dxa"/>
            </w:tcMar>
          </w:tcPr>
          <w:p>
            <w:pPr>
              <w:spacing w:after="0"/>
              <w:jc w:val="left"/>
            </w:pPr>
            <w:r>
              <w:rPr>
                <w:rFonts w:ascii="Calibri" w:hAnsi="Calibri"/>
                <w:b w:val="0"/>
                <w:i w:val="0"/>
                <w:color w:val="1B2A32"/>
                <w:sz w:val="19"/>
              </w:rPr>
              <w:t>1.0  (July 2026)</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Owner</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Equator Resolution — Financial &amp; Loan vertical</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Legal review</w:t>
            </w:r>
          </w:p>
        </w:tc>
        <w:tc>
          <w:tcPr>
            <w:tcW w:type="dxa" w:w="7223"/>
            <w:tcMar>
              <w:top w:w="60" w:type="dxa"/>
              <w:bottom w:w="60" w:type="dxa"/>
              <w:start w:w="110" w:type="dxa"/>
              <w:end w:w="110" w:type="dxa"/>
            </w:tcMar>
          </w:tcPr>
          <w:p>
            <w:pPr>
              <w:spacing w:after="0"/>
              <w:jc w:val="left"/>
            </w:pPr>
            <w:r>
              <w:rPr>
                <w:rFonts w:ascii="Calibri" w:hAnsi="Calibri"/>
                <w:b w:val="0"/>
                <w:i w:val="0"/>
                <w:color w:val="1B2A32"/>
                <w:sz w:val="19"/>
              </w:rPr>
              <w:t>[  ] Banking/finance counsel   ·   [  ] Data-protection counsel   (complete before go-live)</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Approved by</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______________________  (Director)      Date: ____________</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Next review</w:t>
            </w:r>
          </w:p>
        </w:tc>
        <w:tc>
          <w:tcPr>
            <w:tcW w:type="dxa" w:w="7223"/>
            <w:tcMar>
              <w:top w:w="60" w:type="dxa"/>
              <w:bottom w:w="60" w:type="dxa"/>
              <w:start w:w="110" w:type="dxa"/>
              <w:end w:w="110" w:type="dxa"/>
            </w:tcMar>
          </w:tcPr>
          <w:p>
            <w:pPr>
              <w:spacing w:after="0"/>
              <w:jc w:val="left"/>
            </w:pPr>
            <w:r>
              <w:rPr>
                <w:rFonts w:ascii="Calibri" w:hAnsi="Calibri"/>
                <w:b w:val="0"/>
                <w:i w:val="0"/>
                <w:color w:val="1B2A32"/>
                <w:sz w:val="19"/>
              </w:rPr>
              <w:t>On any RBI circular, Ombudsman/Digital-Lending update, or amendment of the cited laws</w:t>
            </w:r>
          </w:p>
        </w:tc>
      </w:tr>
    </w:tbl>
    <w:p>
      <w:pPr>
        <w:spacing w:after="8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Law as at July 2026. Verify RBI circulars, the Ombudsman Scheme and Digital Lending Directions, and case citations against the official texts before relying on them.</w:t>
            </w:r>
          </w:p>
        </w:tc>
      </w:tr>
    </w:tbl>
    <w:p>
      <w:pPr>
        <w:spacing w:after="120"/>
      </w:pPr>
    </w:p>
    <w:p>
      <w:pPr>
        <w:keepNext/>
        <w:spacing w:before="320" w:after="140"/>
        <w:pBdr>
          <w:bottom w:val="single" w:sz="12" w:space="3" w:color="C6A15B"/>
        </w:pBdr>
      </w:pPr>
      <w:r>
        <w:rPr>
          <w:rFonts w:ascii="Calibri" w:hAnsi="Calibri"/>
          <w:b/>
          <w:i w:val="0"/>
          <w:color w:val="123B4F"/>
          <w:sz w:val="34"/>
        </w:rPr>
        <w:t>Table of Contents</w:t>
      </w:r>
    </w:p>
    <w:p>
      <w:pPr>
        <w:spacing w:after="140"/>
        <w:jc w:val="both"/>
      </w:pPr>
      <w:r>
        <w:rPr>
          <w:rFonts w:ascii="Calibri" w:hAnsi="Calibri"/>
          <w:b w:val="0"/>
          <w:i w:val="0"/>
          <w:color w:val="1B2A32"/>
          <w:sz w:val="19"/>
        </w:rPr>
        <w:t>This document uses Word heading styles. Open in Microsoft Word and choose “Update Field” on the entry below to generate a clickable, page-numbered contents list.</w:t>
      </w:r>
    </w:p>
    <w:p>
      <w:r>
        <w:fldChar w:fldCharType="begin"/>
      </w:r>
      <w:r>
        <w:instrText xml:space="preserve">TOC \o "1-3" \h \z \u</w:instrText>
      </w:r>
      <w:r>
        <w:fldChar w:fldCharType="separate"/>
      </w:r>
      <w:r>
        <w:rPr>
          <w:rFonts w:ascii="Calibri" w:hAnsi="Calibri"/>
          <w:b w:val="0"/>
          <w:i/>
          <w:color w:val="556168"/>
          <w:sz w:val="19"/>
        </w:rPr>
        <w:t>Right-click and choose “Update Field” to build the Table of Contents.</w:t>
      </w:r>
      <w:r>
        <w:fldChar w:fldCharType="end"/>
      </w:r>
    </w:p>
    <w:p>
      <w:r>
        <w:br w:type="page"/>
      </w:r>
    </w:p>
    <w:p>
      <w:pPr>
        <w:spacing w:before="600" w:after="40"/>
      </w:pPr>
      <w:r>
        <w:rPr>
          <w:rFonts w:ascii="Calibri" w:hAnsi="Calibri"/>
          <w:b/>
          <w:i w:val="0"/>
          <w:color w:val="C6A15B"/>
          <w:sz w:val="26"/>
        </w:rPr>
        <w:t>PART A</w:t>
      </w:r>
    </w:p>
    <w:p>
      <w:pPr>
        <w:spacing w:after="200"/>
        <w:pBdr>
          <w:bottom w:val="single" w:sz="18" w:space="3" w:color="1E7A8C"/>
        </w:pBdr>
      </w:pPr>
      <w:r>
        <w:rPr>
          <w:rFonts w:ascii="Calibri" w:hAnsi="Calibri"/>
          <w:b/>
          <w:i w:val="0"/>
          <w:color w:val="123B4F"/>
          <w:sz w:val="46"/>
        </w:rPr>
        <w:t>Strategic Overview</w:t>
      </w:r>
    </w:p>
    <w:p>
      <w:pPr>
        <w:keepNext/>
        <w:spacing w:before="320" w:after="140"/>
        <w:pBdr>
          <w:bottom w:val="single" w:sz="12" w:space="3" w:color="C6A15B"/>
        </w:pBdr>
      </w:pPr>
      <w:r>
        <w:rPr>
          <w:rFonts w:ascii="Calibri" w:hAnsi="Calibri"/>
          <w:b/>
          <w:i w:val="0"/>
          <w:color w:val="123B4F"/>
          <w:sz w:val="34"/>
        </w:rPr>
        <w:t>1.  Executive Summary</w:t>
      </w:r>
    </w:p>
    <w:p>
      <w:pPr>
        <w:spacing w:after="160"/>
        <w:jc w:val="both"/>
      </w:pPr>
      <w:r>
        <w:rPr>
          <w:rFonts w:ascii="Calibri" w:hAnsi="Calibri"/>
          <w:b w:val="0"/>
          <w:i/>
          <w:color w:val="1E7A8C"/>
          <w:sz w:val="23"/>
        </w:rPr>
        <w:t>Equator Resolution turns India's largest category of everyday disputes — money owed between borrowers and lenders — into a fast, fair, enforceable settlement process, and gives NBFCs and banks a dispute-resolution engine embedded in their loan agreements.</w:t>
      </w:r>
    </w:p>
    <w:p>
      <w:pPr>
        <w:spacing w:after="140"/>
        <w:jc w:val="both"/>
      </w:pPr>
      <w:r>
        <w:rPr>
          <w:rFonts w:ascii="Calibri" w:hAnsi="Calibri"/>
          <w:b w:val="0"/>
          <w:i w:val="0"/>
          <w:color w:val="1B2A32"/>
          <w:sz w:val="21"/>
        </w:rPr>
        <w:t xml:space="preserve">Every loan carries the seed of a dispute. India's booming NBFC and digital-lending sectors originate millions of loans, and a share of them end in default, disagreement, harassment complaints or dishonoured cheques. The traditional responses — years in civil court, the DRT for large secured debts, or a cheque-bounce prosecution — are slow, adversarial and clog the system; the cheque-bounce docket alone runs to millions of pending cases. The Mediation Act, 2023 changed the economics: a mediated settlement is now enforceable </w:t>
      </w:r>
      <w:r>
        <w:rPr>
          <w:rFonts w:ascii="Calibri" w:hAnsi="Calibri"/>
          <w:b/>
          <w:i w:val="0"/>
          <w:color w:val="1B2A32"/>
          <w:sz w:val="21"/>
        </w:rPr>
        <w:t>as a court decree</w:t>
      </w:r>
      <w:r>
        <w:rPr>
          <w:rFonts w:ascii="Calibri" w:hAnsi="Calibri"/>
          <w:b w:val="0"/>
          <w:i w:val="0"/>
          <w:color w:val="1B2A32"/>
          <w:sz w:val="21"/>
        </w:rPr>
        <w:t xml:space="preserve">, the RBI's grievance and Ombudsman architecture channels borrower complaints, and the Supreme Court actively encourages </w:t>
      </w:r>
      <w:r>
        <w:rPr>
          <w:rFonts w:ascii="Calibri" w:hAnsi="Calibri"/>
          <w:b/>
          <w:i w:val="0"/>
          <w:color w:val="1B2A32"/>
          <w:sz w:val="21"/>
        </w:rPr>
        <w:t>mediation, compounding and Lok Adalat</w:t>
      </w:r>
      <w:r>
        <w:rPr>
          <w:rFonts w:ascii="Calibri" w:hAnsi="Calibri"/>
          <w:b w:val="0"/>
          <w:i w:val="0"/>
          <w:color w:val="1B2A32"/>
          <w:sz w:val="21"/>
        </w:rPr>
        <w:t xml:space="preserve"> settlement of cheque-bounce and recovery matters.</w:t>
      </w:r>
    </w:p>
    <w:p>
      <w:pPr>
        <w:spacing w:after="140"/>
        <w:jc w:val="both"/>
      </w:pPr>
      <w:r>
        <w:rPr>
          <w:rFonts w:ascii="Calibri" w:hAnsi="Calibri"/>
          <w:b w:val="0"/>
          <w:i w:val="0"/>
          <w:color w:val="1B2A32"/>
          <w:sz w:val="21"/>
        </w:rPr>
        <w:t xml:space="preserve">Equator is built for this. A borrower or a lender can commence online; the platform triages the matter to the right mechanism — conciliation/mediation and </w:t>
      </w:r>
      <w:r>
        <w:rPr>
          <w:rFonts w:ascii="Calibri" w:hAnsi="Calibri"/>
          <w:b/>
          <w:i w:val="0"/>
          <w:color w:val="1B2A32"/>
          <w:sz w:val="21"/>
        </w:rPr>
        <w:t>one-time settlement (OTS)</w:t>
      </w:r>
      <w:r>
        <w:rPr>
          <w:rFonts w:ascii="Calibri" w:hAnsi="Calibri"/>
          <w:b w:val="0"/>
          <w:i w:val="0"/>
          <w:color w:val="1B2A32"/>
          <w:sz w:val="21"/>
        </w:rPr>
        <w:t xml:space="preserve"> for recovery disputes, the </w:t>
      </w:r>
      <w:r>
        <w:rPr>
          <w:rFonts w:ascii="Calibri" w:hAnsi="Calibri"/>
          <w:b/>
          <w:i w:val="0"/>
          <w:color w:val="1B2A32"/>
          <w:sz w:val="21"/>
        </w:rPr>
        <w:t>NI-138 mediation-to-compounding</w:t>
      </w:r>
      <w:r>
        <w:rPr>
          <w:rFonts w:ascii="Calibri" w:hAnsi="Calibri"/>
          <w:b w:val="0"/>
          <w:i w:val="0"/>
          <w:color w:val="1B2A32"/>
          <w:sz w:val="21"/>
        </w:rPr>
        <w:t xml:space="preserve"> route for dishonoured cheques, arbitration where a loan agreement so provides, and guided referral to the </w:t>
      </w:r>
      <w:r>
        <w:rPr>
          <w:rFonts w:ascii="Calibri" w:hAnsi="Calibri"/>
          <w:b/>
          <w:i w:val="0"/>
          <w:color w:val="1B2A32"/>
          <w:sz w:val="21"/>
        </w:rPr>
        <w:t>RBI Ombudsman</w:t>
      </w:r>
      <w:r>
        <w:rPr>
          <w:rFonts w:ascii="Calibri" w:hAnsi="Calibri"/>
          <w:b w:val="0"/>
          <w:i w:val="0"/>
          <w:color w:val="1B2A32"/>
          <w:sz w:val="21"/>
        </w:rPr>
        <w:t xml:space="preserve"> or </w:t>
      </w:r>
      <w:r>
        <w:rPr>
          <w:rFonts w:ascii="Calibri" w:hAnsi="Calibri"/>
          <w:b/>
          <w:i w:val="0"/>
          <w:color w:val="1B2A32"/>
          <w:sz w:val="21"/>
        </w:rPr>
        <w:t>DRT</w:t>
      </w:r>
      <w:r>
        <w:rPr>
          <w:rFonts w:ascii="Calibri" w:hAnsi="Calibri"/>
          <w:b w:val="0"/>
          <w:i w:val="0"/>
          <w:color w:val="1B2A32"/>
          <w:sz w:val="21"/>
        </w:rPr>
        <w:t xml:space="preserve"> where those special forums apply. Money moves through </w:t>
      </w:r>
      <w:r>
        <w:rPr>
          <w:rFonts w:ascii="Calibri" w:hAnsi="Calibri"/>
          <w:b/>
          <w:i w:val="0"/>
          <w:color w:val="1B2A32"/>
          <w:sz w:val="21"/>
        </w:rPr>
        <w:t>escrow</w:t>
      </w:r>
      <w:r>
        <w:rPr>
          <w:rFonts w:ascii="Calibri" w:hAnsi="Calibri"/>
          <w:b w:val="0"/>
          <w:i w:val="0"/>
          <w:color w:val="1B2A32"/>
          <w:sz w:val="21"/>
        </w:rPr>
        <w:t xml:space="preserve"> so a settlement is honoured and a </w:t>
      </w:r>
      <w:r>
        <w:rPr>
          <w:rFonts w:ascii="Calibri" w:hAnsi="Calibri"/>
          <w:b/>
          <w:i w:val="0"/>
          <w:color w:val="1B2A32"/>
          <w:sz w:val="21"/>
        </w:rPr>
        <w:t>No-Dues/NOC</w:t>
      </w:r>
      <w:r>
        <w:rPr>
          <w:rFonts w:ascii="Calibri" w:hAnsi="Calibri"/>
          <w:b w:val="0"/>
          <w:i w:val="0"/>
          <w:color w:val="1B2A32"/>
          <w:sz w:val="21"/>
        </w:rPr>
        <w:t xml:space="preserve"> issued; the outcome is enforceable; and the whole journey runs online with </w:t>
      </w:r>
      <w:r>
        <w:rPr>
          <w:rFonts w:ascii="Calibri" w:hAnsi="Calibri"/>
          <w:b/>
          <w:i w:val="0"/>
          <w:color w:val="1B2A32"/>
          <w:sz w:val="21"/>
        </w:rPr>
        <w:t>AI assistance</w:t>
      </w:r>
      <w:r>
        <w:rPr>
          <w:rFonts w:ascii="Calibri" w:hAnsi="Calibri"/>
          <w:b w:val="0"/>
          <w:i w:val="0"/>
          <w:color w:val="1B2A32"/>
          <w:sz w:val="21"/>
        </w:rPr>
        <w:t xml:space="preserve">. For lenders, Equator's </w:t>
      </w:r>
      <w:r>
        <w:rPr>
          <w:rFonts w:ascii="Calibri" w:hAnsi="Calibri"/>
          <w:b/>
          <w:i w:val="0"/>
          <w:color w:val="1B2A32"/>
          <w:sz w:val="21"/>
        </w:rPr>
        <w:t>clause-insertion programme</w:t>
      </w:r>
      <w:r>
        <w:rPr>
          <w:rFonts w:ascii="Calibri" w:hAnsi="Calibri"/>
          <w:b w:val="0"/>
          <w:i w:val="0"/>
          <w:color w:val="1B2A32"/>
          <w:sz w:val="21"/>
        </w:rPr>
        <w:t xml:space="preserve"> embeds Equator in loan agreements, creating a self-replenishing pipeline.</w:t>
      </w:r>
    </w:p>
    <w:p>
      <w:pPr>
        <w:keepNext/>
        <w:spacing w:before="220" w:after="80"/>
      </w:pPr>
      <w:r>
        <w:rPr>
          <w:rFonts w:ascii="Calibri" w:hAnsi="Calibri"/>
          <w:b/>
          <w:i w:val="0"/>
          <w:color w:val="1E7A8C"/>
          <w:sz w:val="26"/>
        </w:rPr>
        <w:t>1.1   What Equator offers the parties</w:t>
      </w:r>
    </w:p>
    <w:p>
      <w:pPr>
        <w:pStyle w:val="ListBullet"/>
        <w:spacing w:after="60"/>
        <w:jc w:val="both"/>
      </w:pPr>
      <w:r>
        <w:rPr>
          <w:rFonts w:ascii="Calibri" w:hAnsi="Calibri"/>
          <w:b/>
          <w:i w:val="0"/>
          <w:color w:val="123B4F"/>
          <w:sz w:val="21"/>
        </w:rPr>
        <w:t xml:space="preserve">For borrowers: </w:t>
      </w:r>
      <w:r>
        <w:rPr>
          <w:rFonts w:ascii="Calibri" w:hAnsi="Calibri"/>
          <w:b w:val="0"/>
          <w:i w:val="0"/>
          <w:color w:val="1B2A32"/>
          <w:sz w:val="21"/>
        </w:rPr>
        <w:t>a faster, fairer path than court; help navigating RBI grievance/Ombudsman routes; protection from harassment; a clean, recorded settlement and NOC.</w:t>
      </w:r>
    </w:p>
    <w:p>
      <w:pPr>
        <w:pStyle w:val="ListBullet"/>
        <w:spacing w:after="60"/>
        <w:jc w:val="both"/>
      </w:pPr>
      <w:r>
        <w:rPr>
          <w:rFonts w:ascii="Calibri" w:hAnsi="Calibri"/>
          <w:b/>
          <w:i w:val="0"/>
          <w:color w:val="123B4F"/>
          <w:sz w:val="21"/>
        </w:rPr>
        <w:t xml:space="preserve">For lenders: </w:t>
      </w:r>
      <w:r>
        <w:rPr>
          <w:rFonts w:ascii="Calibri" w:hAnsi="Calibri"/>
          <w:b w:val="0"/>
          <w:i w:val="0"/>
          <w:color w:val="1B2A32"/>
          <w:sz w:val="21"/>
        </w:rPr>
        <w:t>quicker recovery through mediated OTS; lower cost than DRT/litigation; RBI-compliant grievance &amp; dispute resolution; embedded clause pipeline.</w:t>
      </w:r>
    </w:p>
    <w:p>
      <w:pPr>
        <w:pStyle w:val="ListBullet"/>
        <w:spacing w:after="60"/>
        <w:jc w:val="both"/>
      </w:pPr>
      <w:r>
        <w:rPr>
          <w:rFonts w:ascii="Calibri" w:hAnsi="Calibri"/>
          <w:b/>
          <w:i w:val="0"/>
          <w:color w:val="123B4F"/>
          <w:sz w:val="21"/>
        </w:rPr>
        <w:t xml:space="preserve">Speed &amp; finality: </w:t>
      </w:r>
      <w:r>
        <w:rPr>
          <w:rFonts w:ascii="Calibri" w:hAnsi="Calibri"/>
          <w:b w:val="0"/>
          <w:i w:val="0"/>
          <w:color w:val="1B2A32"/>
          <w:sz w:val="21"/>
        </w:rPr>
        <w:t>settlements enforceable as decrees (s.27); Lok Adalat awards final and executable; time-bound process.</w:t>
      </w:r>
    </w:p>
    <w:p>
      <w:pPr>
        <w:pStyle w:val="ListBullet"/>
        <w:spacing w:after="60"/>
        <w:jc w:val="both"/>
      </w:pPr>
      <w:r>
        <w:rPr>
          <w:rFonts w:ascii="Calibri" w:hAnsi="Calibri"/>
          <w:b/>
          <w:i w:val="0"/>
          <w:color w:val="123B4F"/>
          <w:sz w:val="21"/>
        </w:rPr>
        <w:t xml:space="preserve">Cheque-bounce resolution: </w:t>
      </w:r>
      <w:r>
        <w:rPr>
          <w:rFonts w:ascii="Calibri" w:hAnsi="Calibri"/>
          <w:b w:val="0"/>
          <w:i w:val="0"/>
          <w:color w:val="1B2A32"/>
          <w:sz w:val="21"/>
        </w:rPr>
        <w:t>mediation to compounding (s.147) — closing NI-138 matters without years of trial.</w:t>
      </w:r>
    </w:p>
    <w:p>
      <w:pPr>
        <w:pStyle w:val="ListBullet"/>
        <w:spacing w:after="60"/>
        <w:jc w:val="both"/>
      </w:pPr>
      <w:r>
        <w:rPr>
          <w:rFonts w:ascii="Calibri" w:hAnsi="Calibri"/>
          <w:b/>
          <w:i w:val="0"/>
          <w:color w:val="123B4F"/>
          <w:sz w:val="21"/>
        </w:rPr>
        <w:t xml:space="preserve">Secured money: </w:t>
      </w:r>
      <w:r>
        <w:rPr>
          <w:rFonts w:ascii="Calibri" w:hAnsi="Calibri"/>
          <w:b w:val="0"/>
          <w:i w:val="0"/>
          <w:color w:val="1B2A32"/>
          <w:sz w:val="21"/>
        </w:rPr>
        <w:t>escrow releases the settlement against a No-Dues/NOC, protecting both sides.</w:t>
      </w:r>
    </w:p>
    <w:p>
      <w:pPr>
        <w:spacing w:after="40"/>
      </w:pPr>
    </w:p>
    <w:p>
      <w:pPr>
        <w:keepNext/>
        <w:spacing w:before="320" w:after="140"/>
        <w:pBdr>
          <w:bottom w:val="single" w:sz="12" w:space="3" w:color="C6A15B"/>
        </w:pBdr>
      </w:pPr>
      <w:r>
        <w:rPr>
          <w:rFonts w:ascii="Calibri" w:hAnsi="Calibri"/>
          <w:b/>
          <w:i w:val="0"/>
          <w:color w:val="123B4F"/>
          <w:sz w:val="34"/>
        </w:rPr>
        <w:t>2.  The Opportunity</w:t>
      </w:r>
    </w:p>
    <w:p>
      <w:pPr>
        <w:keepNext/>
        <w:spacing w:before="220" w:after="80"/>
      </w:pPr>
      <w:r>
        <w:rPr>
          <w:rFonts w:ascii="Calibri" w:hAnsi="Calibri"/>
          <w:b/>
          <w:i w:val="0"/>
          <w:color w:val="1E7A8C"/>
          <w:sz w:val="26"/>
        </w:rPr>
        <w:t>2.1   A vast, under-served dispute pool</w:t>
      </w:r>
    </w:p>
    <w:p>
      <w:pPr>
        <w:spacing w:after="140"/>
        <w:jc w:val="both"/>
      </w:pPr>
      <w:r>
        <w:rPr>
          <w:rFonts w:ascii="Calibri" w:hAnsi="Calibri"/>
          <w:b w:val="0"/>
          <w:i w:val="0"/>
          <w:color w:val="1B2A32"/>
          <w:sz w:val="21"/>
        </w:rPr>
        <w:t xml:space="preserve">India's credit economy generates disputes at enormous scale: NBFC and digital-lending growth multiplies borrower–lender friction; dishonoured-cheque prosecutions under Section 138 are among the most numerous cases in the country; and recovery, harassment and grievance complaints are rising with digital lending. The courts and the DRT cannot absorb this volume, and most of it is fundamentally about </w:t>
      </w:r>
      <w:r>
        <w:rPr>
          <w:rFonts w:ascii="Calibri" w:hAnsi="Calibri"/>
          <w:b/>
          <w:i w:val="0"/>
          <w:color w:val="1B2A32"/>
          <w:sz w:val="21"/>
        </w:rPr>
        <w:t>money and settlement</w:t>
      </w:r>
      <w:r>
        <w:rPr>
          <w:rFonts w:ascii="Calibri" w:hAnsi="Calibri"/>
          <w:b w:val="0"/>
          <w:i w:val="0"/>
          <w:color w:val="1B2A32"/>
          <w:sz w:val="21"/>
        </w:rPr>
        <w:t>, not principle — precisely the terrain where mediation and one-time settlement outperform adjudication.</w:t>
      </w:r>
    </w:p>
    <w:p>
      <w:pPr>
        <w:keepNext/>
        <w:spacing w:before="220" w:after="80"/>
      </w:pPr>
      <w:r>
        <w:rPr>
          <w:rFonts w:ascii="Calibri" w:hAnsi="Calibri"/>
          <w:b/>
          <w:i w:val="0"/>
          <w:color w:val="1E7A8C"/>
          <w:sz w:val="26"/>
        </w:rPr>
        <w:t>2.2   Regulatory tailwinds</w:t>
      </w:r>
    </w:p>
    <w:p>
      <w:pPr>
        <w:spacing w:after="140"/>
        <w:jc w:val="both"/>
      </w:pPr>
      <w:r>
        <w:rPr>
          <w:rFonts w:ascii="Calibri" w:hAnsi="Calibri"/>
          <w:b w:val="0"/>
          <w:i w:val="0"/>
          <w:color w:val="1B2A32"/>
          <w:sz w:val="21"/>
        </w:rPr>
        <w:t xml:space="preserve">Four regulatory currents create Equator's opening. The </w:t>
      </w:r>
      <w:r>
        <w:rPr>
          <w:rFonts w:ascii="Calibri" w:hAnsi="Calibri"/>
          <w:b/>
          <w:i w:val="0"/>
          <w:color w:val="1B2A32"/>
          <w:sz w:val="21"/>
        </w:rPr>
        <w:t>Mediation Act, 2023</w:t>
      </w:r>
      <w:r>
        <w:rPr>
          <w:rFonts w:ascii="Calibri" w:hAnsi="Calibri"/>
          <w:b w:val="0"/>
          <w:i w:val="0"/>
          <w:color w:val="1B2A32"/>
          <w:sz w:val="21"/>
        </w:rPr>
        <w:t xml:space="preserve"> makes a mediated settlement enforceable as a decree. The </w:t>
      </w:r>
      <w:r>
        <w:rPr>
          <w:rFonts w:ascii="Calibri" w:hAnsi="Calibri"/>
          <w:b/>
          <w:i w:val="0"/>
          <w:color w:val="1B2A32"/>
          <w:sz w:val="21"/>
        </w:rPr>
        <w:t>RBI Integrated Ombudsman Scheme, 2021</w:t>
      </w:r>
      <w:r>
        <w:rPr>
          <w:rFonts w:ascii="Calibri" w:hAnsi="Calibri"/>
          <w:b w:val="0"/>
          <w:i w:val="0"/>
          <w:color w:val="1B2A32"/>
          <w:sz w:val="21"/>
        </w:rPr>
        <w:t xml:space="preserve"> and the </w:t>
      </w:r>
      <w:r>
        <w:rPr>
          <w:rFonts w:ascii="Calibri" w:hAnsi="Calibri"/>
          <w:b/>
          <w:i w:val="0"/>
          <w:color w:val="1B2A32"/>
          <w:sz w:val="21"/>
        </w:rPr>
        <w:t>RBI (Digital Lending) Directions, 2025</w:t>
      </w:r>
      <w:r>
        <w:rPr>
          <w:rFonts w:ascii="Calibri" w:hAnsi="Calibri"/>
          <w:b w:val="0"/>
          <w:i w:val="0"/>
          <w:color w:val="1B2A32"/>
          <w:sz w:val="21"/>
        </w:rPr>
        <w:t xml:space="preserve"> mandate grievance-redressal machinery in every regulated entity and lending service provider, and give borrowers a clear escalation path — a demand for structured, fair dispute resolution that Equator can serve. The Supreme Court and the RBI actively </w:t>
      </w:r>
      <w:r>
        <w:rPr>
          <w:rFonts w:ascii="Calibri" w:hAnsi="Calibri"/>
          <w:b/>
          <w:i w:val="0"/>
          <w:color w:val="1B2A32"/>
          <w:sz w:val="21"/>
        </w:rPr>
        <w:t>encourage settlement</w:t>
      </w:r>
      <w:r>
        <w:rPr>
          <w:rFonts w:ascii="Calibri" w:hAnsi="Calibri"/>
          <w:b w:val="0"/>
          <w:i w:val="0"/>
          <w:color w:val="1B2A32"/>
          <w:sz w:val="21"/>
        </w:rPr>
        <w:t xml:space="preserve"> of cheque-bounce and recovery matters through mediation, compounding and Lok Adalat, and the RBI's 2023 </w:t>
      </w:r>
      <w:r>
        <w:rPr>
          <w:rFonts w:ascii="Calibri" w:hAnsi="Calibri"/>
          <w:b/>
          <w:i w:val="0"/>
          <w:color w:val="1B2A32"/>
          <w:sz w:val="21"/>
        </w:rPr>
        <w:t>compromise-settlement</w:t>
      </w:r>
      <w:r>
        <w:rPr>
          <w:rFonts w:ascii="Calibri" w:hAnsi="Calibri"/>
          <w:b w:val="0"/>
          <w:i w:val="0"/>
          <w:color w:val="1B2A32"/>
          <w:sz w:val="21"/>
        </w:rPr>
        <w:t xml:space="preserve"> framework legitimises OTS. And the group's </w:t>
      </w:r>
      <w:r>
        <w:rPr>
          <w:rFonts w:ascii="Calibri" w:hAnsi="Calibri"/>
          <w:b/>
          <w:i w:val="0"/>
          <w:color w:val="1B2A32"/>
          <w:sz w:val="21"/>
        </w:rPr>
        <w:t>clause-insertion</w:t>
      </w:r>
      <w:r>
        <w:rPr>
          <w:rFonts w:ascii="Calibri" w:hAnsi="Calibri"/>
          <w:b w:val="0"/>
          <w:i w:val="0"/>
          <w:color w:val="1B2A32"/>
          <w:sz w:val="21"/>
        </w:rPr>
        <w:t xml:space="preserve"> strategy — naming Equator in NBFC, bank and fintech loan agreements — turns every future loan into a potential Equator case.</w:t>
      </w: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 xml:space="preserve">Equator positions as a neutral </w:t>
            </w:r>
            <w:r>
              <w:rPr>
                <w:rFonts w:ascii="Calibri" w:hAnsi="Calibri"/>
                <w:b/>
                <w:i w:val="0"/>
                <w:color w:val="1B2A32"/>
                <w:sz w:val="20"/>
              </w:rPr>
              <w:t>Mediation Service Provider and conciliation/arbitration institution for financial disputes</w:t>
            </w:r>
            <w:r>
              <w:rPr>
                <w:rFonts w:ascii="Calibri" w:hAnsi="Calibri"/>
                <w:b w:val="0"/>
                <w:i w:val="0"/>
                <w:color w:val="1B2A32"/>
                <w:sz w:val="20"/>
              </w:rPr>
              <w:t>, complementing (not competing with) the RBI Ombudsman and the DRT, and helping regulated entities meet their grievance-redressal obligations.</w:t>
            </w:r>
          </w:p>
        </w:tc>
      </w:tr>
    </w:tbl>
    <w:p>
      <w:pPr>
        <w:spacing w:after="120"/>
      </w:pPr>
    </w:p>
    <w:p>
      <w:pPr>
        <w:spacing w:before="80" w:after="40"/>
        <w:jc w:val="center"/>
      </w:pPr>
      <w:r>
        <w:drawing>
          <wp:inline xmlns:a="http://schemas.openxmlformats.org/drawingml/2006/main" xmlns:pic="http://schemas.openxmlformats.org/drawingml/2006/picture">
            <wp:extent cx="5852160" cy="3187513"/>
            <wp:docPr id="1" name="Picture 1"/>
            <wp:cNvGraphicFramePr>
              <a:graphicFrameLocks noChangeAspect="1"/>
            </wp:cNvGraphicFramePr>
            <a:graphic>
              <a:graphicData uri="http://schemas.openxmlformats.org/drawingml/2006/picture">
                <pic:pic>
                  <pic:nvPicPr>
                    <pic:cNvPr id="0" name="fl02_triage.png"/>
                    <pic:cNvPicPr/>
                  </pic:nvPicPr>
                  <pic:blipFill>
                    <a:blip r:embed="rId9"/>
                    <a:stretch>
                      <a:fillRect/>
                    </a:stretch>
                  </pic:blipFill>
                  <pic:spPr>
                    <a:xfrm>
                      <a:off x="0" y="0"/>
                      <a:ext cx="5852160" cy="3187513"/>
                    </a:xfrm>
                    <a:prstGeom prst="rect"/>
                  </pic:spPr>
                </pic:pic>
              </a:graphicData>
            </a:graphic>
          </wp:inline>
        </w:drawing>
      </w:r>
    </w:p>
    <w:p>
      <w:pPr>
        <w:spacing w:before="20" w:after="200"/>
        <w:jc w:val="center"/>
      </w:pPr>
      <w:r>
        <w:rPr>
          <w:rFonts w:ascii="Calibri" w:hAnsi="Calibri"/>
          <w:b w:val="0"/>
          <w:i/>
          <w:color w:val="556168"/>
          <w:sz w:val="17"/>
        </w:rPr>
        <w:t>Figure 1 — Every financial dispute is triaged to the right route: special forum, or Equator mediation/arbitration/settlement.</w:t>
      </w:r>
    </w:p>
    <w:p>
      <w:pPr>
        <w:keepNext/>
        <w:spacing w:before="320" w:after="140"/>
        <w:pBdr>
          <w:bottom w:val="single" w:sz="12" w:space="3" w:color="C6A15B"/>
        </w:pBdr>
      </w:pPr>
      <w:r>
        <w:rPr>
          <w:rFonts w:ascii="Calibri" w:hAnsi="Calibri"/>
          <w:b/>
          <w:i w:val="0"/>
          <w:color w:val="123B4F"/>
          <w:sz w:val="34"/>
        </w:rPr>
        <w:t>3.  Vision, Positioning &amp; Guiding Principles</w:t>
      </w:r>
    </w:p>
    <w:p>
      <w:pPr>
        <w:spacing w:after="140"/>
        <w:jc w:val="both"/>
      </w:pPr>
      <w:r>
        <w:rPr>
          <w:rFonts w:ascii="Calibri" w:hAnsi="Calibri"/>
          <w:b w:val="0"/>
          <w:i w:val="0"/>
          <w:color w:val="1B2A32"/>
          <w:sz w:val="21"/>
        </w:rPr>
        <w:t xml:space="preserve">Equator's financial vertical promises resolutions that are </w:t>
      </w:r>
      <w:r>
        <w:rPr>
          <w:rFonts w:ascii="Calibri" w:hAnsi="Calibri"/>
          <w:b/>
          <w:i w:val="0"/>
          <w:color w:val="1B2A32"/>
          <w:sz w:val="21"/>
        </w:rPr>
        <w:t>faster, fairer and enforceable</w:t>
      </w:r>
      <w:r>
        <w:rPr>
          <w:rFonts w:ascii="Calibri" w:hAnsi="Calibri"/>
          <w:b w:val="0"/>
          <w:i w:val="0"/>
          <w:color w:val="1B2A32"/>
          <w:sz w:val="21"/>
        </w:rPr>
        <w:t xml:space="preserve">, and a </w:t>
      </w:r>
      <w:r>
        <w:rPr>
          <w:rFonts w:ascii="Calibri" w:hAnsi="Calibri"/>
          <w:b/>
          <w:i w:val="0"/>
          <w:color w:val="1B2A32"/>
          <w:sz w:val="21"/>
        </w:rPr>
        <w:t>responsible</w:t>
      </w:r>
      <w:r>
        <w:rPr>
          <w:rFonts w:ascii="Calibri" w:hAnsi="Calibri"/>
          <w:b w:val="0"/>
          <w:i w:val="0"/>
          <w:color w:val="1B2A32"/>
          <w:sz w:val="21"/>
        </w:rPr>
        <w:t xml:space="preserve"> process that protects borrowers from harassment while giving lenders a real recovery path. Its principles: </w:t>
      </w:r>
      <w:r>
        <w:rPr>
          <w:rFonts w:ascii="Calibri" w:hAnsi="Calibri"/>
          <w:b/>
          <w:i w:val="0"/>
          <w:color w:val="1B2A32"/>
          <w:sz w:val="21"/>
        </w:rPr>
        <w:t>neutrality</w:t>
      </w:r>
      <w:r>
        <w:rPr>
          <w:rFonts w:ascii="Calibri" w:hAnsi="Calibri"/>
          <w:b w:val="0"/>
          <w:i w:val="0"/>
          <w:color w:val="1B2A32"/>
          <w:sz w:val="21"/>
        </w:rPr>
        <w:t xml:space="preserve">; </w:t>
      </w:r>
      <w:r>
        <w:rPr>
          <w:rFonts w:ascii="Calibri" w:hAnsi="Calibri"/>
          <w:b/>
          <w:i w:val="0"/>
          <w:color w:val="1B2A32"/>
          <w:sz w:val="21"/>
        </w:rPr>
        <w:t>fair treatment of the borrower</w:t>
      </w:r>
      <w:r>
        <w:rPr>
          <w:rFonts w:ascii="Calibri" w:hAnsi="Calibri"/>
          <w:b w:val="0"/>
          <w:i w:val="0"/>
          <w:color w:val="1B2A32"/>
          <w:sz w:val="21"/>
        </w:rPr>
        <w:t xml:space="preserve"> (consistent with the RBI Fair Practices Code and consumer-protection norms); </w:t>
      </w:r>
      <w:r>
        <w:rPr>
          <w:rFonts w:ascii="Calibri" w:hAnsi="Calibri"/>
          <w:b/>
          <w:i w:val="0"/>
          <w:color w:val="1B2A32"/>
          <w:sz w:val="21"/>
        </w:rPr>
        <w:t>settlement over adjudication</w:t>
      </w:r>
      <w:r>
        <w:rPr>
          <w:rFonts w:ascii="Calibri" w:hAnsi="Calibri"/>
          <w:b w:val="0"/>
          <w:i w:val="0"/>
          <w:color w:val="1B2A32"/>
          <w:sz w:val="21"/>
        </w:rPr>
        <w:t xml:space="preserve"> where money is the real issue; </w:t>
      </w:r>
      <w:r>
        <w:rPr>
          <w:rFonts w:ascii="Calibri" w:hAnsi="Calibri"/>
          <w:b/>
          <w:i w:val="0"/>
          <w:color w:val="1B2A32"/>
          <w:sz w:val="21"/>
        </w:rPr>
        <w:t>confidentiality</w:t>
      </w:r>
      <w:r>
        <w:rPr>
          <w:rFonts w:ascii="Calibri" w:hAnsi="Calibri"/>
          <w:b w:val="0"/>
          <w:i w:val="0"/>
          <w:color w:val="1B2A32"/>
          <w:sz w:val="21"/>
        </w:rPr>
        <w:t xml:space="preserve">; </w:t>
      </w:r>
      <w:r>
        <w:rPr>
          <w:rFonts w:ascii="Calibri" w:hAnsi="Calibri"/>
          <w:b/>
          <w:i w:val="0"/>
          <w:color w:val="1B2A32"/>
          <w:sz w:val="21"/>
        </w:rPr>
        <w:t>enforceability</w:t>
      </w:r>
      <w:r>
        <w:rPr>
          <w:rFonts w:ascii="Calibri" w:hAnsi="Calibri"/>
          <w:b w:val="0"/>
          <w:i w:val="0"/>
          <w:color w:val="1B2A32"/>
          <w:sz w:val="21"/>
        </w:rPr>
        <w:t xml:space="preserve">; </w:t>
      </w:r>
      <w:r>
        <w:rPr>
          <w:rFonts w:ascii="Calibri" w:hAnsi="Calibri"/>
          <w:b/>
          <w:i w:val="0"/>
          <w:color w:val="1B2A32"/>
          <w:sz w:val="21"/>
        </w:rPr>
        <w:t>regulatory alignment</w:t>
      </w:r>
      <w:r>
        <w:rPr>
          <w:rFonts w:ascii="Calibri" w:hAnsi="Calibri"/>
          <w:b w:val="0"/>
          <w:i w:val="0"/>
          <w:color w:val="1B2A32"/>
          <w:sz w:val="21"/>
        </w:rPr>
        <w:t xml:space="preserve"> with the RBI framework; and </w:t>
      </w:r>
      <w:r>
        <w:rPr>
          <w:rFonts w:ascii="Calibri" w:hAnsi="Calibri"/>
          <w:b/>
          <w:i w:val="0"/>
          <w:color w:val="1B2A32"/>
          <w:sz w:val="21"/>
        </w:rPr>
        <w:t>data protection</w:t>
      </w:r>
      <w:r>
        <w:rPr>
          <w:rFonts w:ascii="Calibri" w:hAnsi="Calibri"/>
          <w:b w:val="0"/>
          <w:i w:val="0"/>
          <w:color w:val="1B2A32"/>
          <w:sz w:val="21"/>
        </w:rPr>
        <w:t xml:space="preserve"> for sensitive financial data.</w:t>
      </w:r>
    </w:p>
    <w:p>
      <w:pPr>
        <w:keepNext/>
        <w:spacing w:before="320" w:after="140"/>
        <w:pBdr>
          <w:bottom w:val="single" w:sz="12" w:space="3" w:color="C6A15B"/>
        </w:pBdr>
      </w:pPr>
      <w:r>
        <w:rPr>
          <w:rFonts w:ascii="Calibri" w:hAnsi="Calibri"/>
          <w:b/>
          <w:i w:val="0"/>
          <w:color w:val="123B4F"/>
          <w:sz w:val="34"/>
        </w:rPr>
        <w:t>4.  How Equator Works</w:t>
      </w:r>
    </w:p>
    <w:p>
      <w:pPr>
        <w:spacing w:after="140"/>
        <w:jc w:val="both"/>
      </w:pPr>
      <w:r>
        <w:rPr>
          <w:rFonts w:ascii="Calibri" w:hAnsi="Calibri"/>
          <w:b w:val="0"/>
          <w:i w:val="0"/>
          <w:color w:val="1B2A32"/>
          <w:sz w:val="21"/>
        </w:rPr>
        <w:t xml:space="preserve">Equator is the </w:t>
      </w:r>
      <w:r>
        <w:rPr>
          <w:rFonts w:ascii="Calibri" w:hAnsi="Calibri"/>
          <w:b/>
          <w:i w:val="0"/>
          <w:color w:val="1B2A32"/>
          <w:sz w:val="21"/>
        </w:rPr>
        <w:t>institution</w:t>
      </w:r>
      <w:r>
        <w:rPr>
          <w:rFonts w:ascii="Calibri" w:hAnsi="Calibri"/>
          <w:b w:val="0"/>
          <w:i w:val="0"/>
          <w:color w:val="1B2A32"/>
          <w:sz w:val="21"/>
        </w:rPr>
        <w:t xml:space="preserve"> that administers the resolution: it maintains the panel of mediators, conciliators and arbitrators; publishes the rules and fee schedule; runs the case-management platform; serves notices; safeguards documents and settlement funds in </w:t>
      </w:r>
      <w:r>
        <w:rPr>
          <w:rFonts w:ascii="Calibri" w:hAnsi="Calibri"/>
          <w:b/>
          <w:i w:val="0"/>
          <w:color w:val="1B2A32"/>
          <w:sz w:val="21"/>
        </w:rPr>
        <w:t>escrow</w:t>
      </w:r>
      <w:r>
        <w:rPr>
          <w:rFonts w:ascii="Calibri" w:hAnsi="Calibri"/>
          <w:b w:val="0"/>
          <w:i w:val="0"/>
          <w:color w:val="1B2A32"/>
          <w:sz w:val="21"/>
        </w:rPr>
        <w:t xml:space="preserve">; and issues the settlement, consent award or closure. The </w:t>
      </w:r>
      <w:r>
        <w:rPr>
          <w:rFonts w:ascii="Calibri" w:hAnsi="Calibri"/>
          <w:b/>
          <w:i w:val="0"/>
          <w:color w:val="1B2A32"/>
          <w:sz w:val="21"/>
        </w:rPr>
        <w:t>neutral</w:t>
      </w:r>
      <w:r>
        <w:rPr>
          <w:rFonts w:ascii="Calibri" w:hAnsi="Calibri"/>
          <w:b w:val="0"/>
          <w:i w:val="0"/>
          <w:color w:val="1B2A32"/>
          <w:sz w:val="21"/>
        </w:rPr>
        <w:t xml:space="preserve"> conciliates, mediates or arbitrates; the </w:t>
      </w:r>
      <w:r>
        <w:rPr>
          <w:rFonts w:ascii="Calibri" w:hAnsi="Calibri"/>
          <w:b/>
          <w:i w:val="0"/>
          <w:color w:val="1B2A32"/>
          <w:sz w:val="21"/>
        </w:rPr>
        <w:t>case manager</w:t>
      </w:r>
      <w:r>
        <w:rPr>
          <w:rFonts w:ascii="Calibri" w:hAnsi="Calibri"/>
          <w:b w:val="0"/>
          <w:i w:val="0"/>
          <w:color w:val="1B2A32"/>
          <w:sz w:val="21"/>
        </w:rPr>
        <w:t xml:space="preserve"> drives the file; the </w:t>
      </w:r>
      <w:r>
        <w:rPr>
          <w:rFonts w:ascii="Calibri" w:hAnsi="Calibri"/>
          <w:b/>
          <w:i w:val="0"/>
          <w:color w:val="1B2A32"/>
          <w:sz w:val="21"/>
        </w:rPr>
        <w:t>parties</w:t>
      </w:r>
      <w:r>
        <w:rPr>
          <w:rFonts w:ascii="Calibri" w:hAnsi="Calibri"/>
          <w:b w:val="0"/>
          <w:i w:val="0"/>
          <w:color w:val="1B2A32"/>
          <w:sz w:val="21"/>
        </w:rPr>
        <w:t xml:space="preserve"> — borrower and lender, and their representatives — participate through secure logins. Equator </w:t>
      </w:r>
      <w:r>
        <w:rPr>
          <w:rFonts w:ascii="Calibri" w:hAnsi="Calibri"/>
          <w:b/>
          <w:i w:val="0"/>
          <w:color w:val="1B2A32"/>
          <w:sz w:val="21"/>
        </w:rPr>
        <w:t>complements</w:t>
      </w:r>
      <w:r>
        <w:rPr>
          <w:rFonts w:ascii="Calibri" w:hAnsi="Calibri"/>
          <w:b w:val="0"/>
          <w:i w:val="0"/>
          <w:color w:val="1B2A32"/>
          <w:sz w:val="21"/>
        </w:rPr>
        <w:t xml:space="preserve"> the RBI Ombudsman and the DRT: it resolves the mediatable disputes and the settlements those forums leave open, and guides parties to the correct forum where a matter is reserved.</w:t>
      </w:r>
    </w:p>
    <w:p>
      <w:r>
        <w:br w:type="page"/>
      </w:r>
    </w:p>
    <w:p>
      <w:pPr>
        <w:spacing w:before="600" w:after="40"/>
      </w:pPr>
      <w:r>
        <w:rPr>
          <w:rFonts w:ascii="Calibri" w:hAnsi="Calibri"/>
          <w:b/>
          <w:i w:val="0"/>
          <w:color w:val="C6A15B"/>
          <w:sz w:val="26"/>
        </w:rPr>
        <w:t>PART B</w:t>
      </w:r>
    </w:p>
    <w:p>
      <w:pPr>
        <w:spacing w:after="200"/>
        <w:pBdr>
          <w:bottom w:val="single" w:sz="18" w:space="3" w:color="1E7A8C"/>
        </w:pBdr>
      </w:pPr>
      <w:r>
        <w:rPr>
          <w:rFonts w:ascii="Calibri" w:hAnsi="Calibri"/>
          <w:b/>
          <w:i w:val="0"/>
          <w:color w:val="123B4F"/>
          <w:sz w:val="46"/>
        </w:rPr>
        <w:t>The Legal &amp; Regulatory Framework</w:t>
      </w:r>
    </w:p>
    <w:p>
      <w:pPr>
        <w:keepNext/>
        <w:spacing w:before="320" w:after="140"/>
        <w:pBdr>
          <w:bottom w:val="single" w:sz="12" w:space="3" w:color="C6A15B"/>
        </w:pBdr>
      </w:pPr>
      <w:r>
        <w:rPr>
          <w:rFonts w:ascii="Calibri" w:hAnsi="Calibri"/>
          <w:b/>
          <w:i w:val="0"/>
          <w:color w:val="123B4F"/>
          <w:sz w:val="34"/>
        </w:rPr>
        <w:t>5.  Governing-Route Landscape: Which Mechanism Applies</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Financial disputes flow down several channels, and intake's first job is to pick the right one: </w:t>
            </w:r>
            <w:r>
              <w:rPr>
                <w:rFonts w:ascii="Calibri" w:hAnsi="Calibri"/>
                <w:b/>
                <w:i w:val="0"/>
                <w:color w:val="1B2A32"/>
                <w:sz w:val="20"/>
              </w:rPr>
              <w:t>mediation/conciliation &amp; OTS</w:t>
            </w:r>
            <w:r>
              <w:rPr>
                <w:rFonts w:ascii="Calibri" w:hAnsi="Calibri"/>
                <w:b w:val="0"/>
                <w:i w:val="0"/>
                <w:color w:val="1B2A32"/>
                <w:sz w:val="20"/>
              </w:rPr>
              <w:t xml:space="preserve"> for recovery and contractual disputes; the </w:t>
            </w:r>
            <w:r>
              <w:rPr>
                <w:rFonts w:ascii="Calibri" w:hAnsi="Calibri"/>
                <w:b/>
                <w:i w:val="0"/>
                <w:color w:val="1B2A32"/>
                <w:sz w:val="20"/>
              </w:rPr>
              <w:t>RBI Ombudsman</w:t>
            </w:r>
            <w:r>
              <w:rPr>
                <w:rFonts w:ascii="Calibri" w:hAnsi="Calibri"/>
                <w:b w:val="0"/>
                <w:i w:val="0"/>
                <w:color w:val="1B2A32"/>
                <w:sz w:val="20"/>
              </w:rPr>
              <w:t xml:space="preserve"> for service-deficiency complaints against regulated entities; </w:t>
            </w:r>
            <w:r>
              <w:rPr>
                <w:rFonts w:ascii="Calibri" w:hAnsi="Calibri"/>
                <w:b/>
                <w:i w:val="0"/>
                <w:color w:val="1B2A32"/>
                <w:sz w:val="20"/>
              </w:rPr>
              <w:t>NI-138</w:t>
            </w:r>
            <w:r>
              <w:rPr>
                <w:rFonts w:ascii="Calibri" w:hAnsi="Calibri"/>
                <w:b w:val="0"/>
                <w:i w:val="0"/>
                <w:color w:val="1B2A32"/>
                <w:sz w:val="20"/>
              </w:rPr>
              <w:t xml:space="preserve"> mediation/compounding for dishonoured cheques; </w:t>
            </w:r>
            <w:r>
              <w:rPr>
                <w:rFonts w:ascii="Calibri" w:hAnsi="Calibri"/>
                <w:b/>
                <w:i w:val="0"/>
                <w:color w:val="1B2A32"/>
                <w:sz w:val="20"/>
              </w:rPr>
              <w:t>arbitration</w:t>
            </w:r>
            <w:r>
              <w:rPr>
                <w:rFonts w:ascii="Calibri" w:hAnsi="Calibri"/>
                <w:b w:val="0"/>
                <w:i w:val="0"/>
                <w:color w:val="1B2A32"/>
                <w:sz w:val="20"/>
              </w:rPr>
              <w:t xml:space="preserve"> where the loan agreement so provides and the matter is arbitrable; and the </w:t>
            </w:r>
            <w:r>
              <w:rPr>
                <w:rFonts w:ascii="Calibri" w:hAnsi="Calibri"/>
                <w:b/>
                <w:i w:val="0"/>
                <w:color w:val="1B2A32"/>
                <w:sz w:val="20"/>
              </w:rPr>
              <w:t>DRT/SARFAESI</w:t>
            </w:r>
            <w:r>
              <w:rPr>
                <w:rFonts w:ascii="Calibri" w:hAnsi="Calibri"/>
                <w:b w:val="0"/>
                <w:i w:val="0"/>
                <w:color w:val="1B2A32"/>
                <w:sz w:val="20"/>
              </w:rPr>
              <w:t xml:space="preserve"> special forum for banks enforcing security. Some routes run in parallel.</w:t>
            </w:r>
          </w:p>
        </w:tc>
      </w:tr>
    </w:tbl>
    <w:p>
      <w:pPr>
        <w:spacing w:after="120"/>
      </w:pPr>
    </w:p>
    <w:p>
      <w:pPr>
        <w:spacing w:after="140"/>
        <w:jc w:val="both"/>
      </w:pPr>
      <w:r>
        <w:rPr>
          <w:rFonts w:ascii="Calibri" w:hAnsi="Calibri"/>
          <w:b w:val="0"/>
          <w:i w:val="0"/>
          <w:color w:val="1B2A32"/>
          <w:sz w:val="21"/>
        </w:rPr>
        <w:t xml:space="preserve">The route is chosen from the nature of the dispute, the parties and the documents. A </w:t>
      </w:r>
      <w:r>
        <w:rPr>
          <w:rFonts w:ascii="Calibri" w:hAnsi="Calibri"/>
          <w:b/>
          <w:i w:val="0"/>
          <w:color w:val="1B2A32"/>
          <w:sz w:val="21"/>
        </w:rPr>
        <w:t>bank or financial institution enforcing a security interest</w:t>
      </w:r>
      <w:r>
        <w:rPr>
          <w:rFonts w:ascii="Calibri" w:hAnsi="Calibri"/>
          <w:b w:val="0"/>
          <w:i w:val="0"/>
          <w:color w:val="1B2A32"/>
          <w:sz w:val="21"/>
        </w:rPr>
        <w:t xml:space="preserve"> uses SARFAESI and the DRT — a special forum, and such disputes are </w:t>
      </w:r>
      <w:r>
        <w:rPr>
          <w:rFonts w:ascii="Calibri" w:hAnsi="Calibri"/>
          <w:b/>
          <w:i w:val="0"/>
          <w:color w:val="1B2A32"/>
          <w:sz w:val="21"/>
        </w:rPr>
        <w:t>non-arbitrable</w:t>
      </w:r>
      <w:r>
        <w:rPr>
          <w:rFonts w:ascii="Calibri" w:hAnsi="Calibri"/>
          <w:b w:val="0"/>
          <w:i w:val="0"/>
          <w:color w:val="1B2A32"/>
          <w:sz w:val="21"/>
        </w:rPr>
        <w:t xml:space="preserve">. A borrower's </w:t>
      </w:r>
      <w:r>
        <w:rPr>
          <w:rFonts w:ascii="Calibri" w:hAnsi="Calibri"/>
          <w:b/>
          <w:i w:val="0"/>
          <w:color w:val="1B2A32"/>
          <w:sz w:val="21"/>
        </w:rPr>
        <w:t>complaint of deficiency in service</w:t>
      </w:r>
      <w:r>
        <w:rPr>
          <w:rFonts w:ascii="Calibri" w:hAnsi="Calibri"/>
          <w:b w:val="0"/>
          <w:i w:val="0"/>
          <w:color w:val="1B2A32"/>
          <w:sz w:val="21"/>
        </w:rPr>
        <w:t xml:space="preserve"> by a regulated entity is first raised with the entity's grievance officer and, if unresolved in 30 days, escalated to the </w:t>
      </w:r>
      <w:r>
        <w:rPr>
          <w:rFonts w:ascii="Calibri" w:hAnsi="Calibri"/>
          <w:b/>
          <w:i w:val="0"/>
          <w:color w:val="1B2A32"/>
          <w:sz w:val="21"/>
        </w:rPr>
        <w:t>RBI Integrated Ombudsman</w:t>
      </w:r>
      <w:r>
        <w:rPr>
          <w:rFonts w:ascii="Calibri" w:hAnsi="Calibri"/>
          <w:b w:val="0"/>
          <w:i w:val="0"/>
          <w:color w:val="1B2A32"/>
          <w:sz w:val="21"/>
        </w:rPr>
        <w:t xml:space="preserve">. A </w:t>
      </w:r>
      <w:r>
        <w:rPr>
          <w:rFonts w:ascii="Calibri" w:hAnsi="Calibri"/>
          <w:b/>
          <w:i w:val="0"/>
          <w:color w:val="1B2A32"/>
          <w:sz w:val="21"/>
        </w:rPr>
        <w:t>dishonoured cheque</w:t>
      </w:r>
      <w:r>
        <w:rPr>
          <w:rFonts w:ascii="Calibri" w:hAnsi="Calibri"/>
          <w:b w:val="0"/>
          <w:i w:val="0"/>
          <w:color w:val="1B2A32"/>
          <w:sz w:val="21"/>
        </w:rPr>
        <w:t xml:space="preserve"> is a Section 138 matter that can be settled through mediation and closed by </w:t>
      </w:r>
      <w:r>
        <w:rPr>
          <w:rFonts w:ascii="Calibri" w:hAnsi="Calibri"/>
          <w:b/>
          <w:i w:val="0"/>
          <w:color w:val="1B2A32"/>
          <w:sz w:val="21"/>
        </w:rPr>
        <w:t>compounding</w:t>
      </w:r>
      <w:r>
        <w:rPr>
          <w:rFonts w:ascii="Calibri" w:hAnsi="Calibri"/>
          <w:b w:val="0"/>
          <w:i w:val="0"/>
          <w:color w:val="1B2A32"/>
          <w:sz w:val="21"/>
        </w:rPr>
        <w:t xml:space="preserve"> or in a </w:t>
      </w:r>
      <w:r>
        <w:rPr>
          <w:rFonts w:ascii="Calibri" w:hAnsi="Calibri"/>
          <w:b/>
          <w:i w:val="0"/>
          <w:color w:val="1B2A32"/>
          <w:sz w:val="21"/>
        </w:rPr>
        <w:t>Lok Adalat</w:t>
      </w:r>
      <w:r>
        <w:rPr>
          <w:rFonts w:ascii="Calibri" w:hAnsi="Calibri"/>
          <w:b w:val="0"/>
          <w:i w:val="0"/>
          <w:color w:val="1B2A32"/>
          <w:sz w:val="21"/>
        </w:rPr>
        <w:t xml:space="preserve">. An ordinary </w:t>
      </w:r>
      <w:r>
        <w:rPr>
          <w:rFonts w:ascii="Calibri" w:hAnsi="Calibri"/>
          <w:b/>
          <w:i w:val="0"/>
          <w:color w:val="1B2A32"/>
          <w:sz w:val="21"/>
        </w:rPr>
        <w:t>loan or contractual recovery dispute</w:t>
      </w:r>
      <w:r>
        <w:rPr>
          <w:rFonts w:ascii="Calibri" w:hAnsi="Calibri"/>
          <w:b w:val="0"/>
          <w:i w:val="0"/>
          <w:color w:val="1B2A32"/>
          <w:sz w:val="21"/>
        </w:rPr>
        <w:t xml:space="preserve"> can be </w:t>
      </w:r>
      <w:r>
        <w:rPr>
          <w:rFonts w:ascii="Calibri" w:hAnsi="Calibri"/>
          <w:b/>
          <w:i w:val="0"/>
          <w:color w:val="1B2A32"/>
          <w:sz w:val="21"/>
        </w:rPr>
        <w:t>mediated</w:t>
      </w:r>
      <w:r>
        <w:rPr>
          <w:rFonts w:ascii="Calibri" w:hAnsi="Calibri"/>
          <w:b w:val="0"/>
          <w:i w:val="0"/>
          <w:color w:val="1B2A32"/>
          <w:sz w:val="21"/>
        </w:rPr>
        <w:t xml:space="preserve"> (with a one-time settlement) or </w:t>
      </w:r>
      <w:r>
        <w:rPr>
          <w:rFonts w:ascii="Calibri" w:hAnsi="Calibri"/>
          <w:b/>
          <w:i w:val="0"/>
          <w:color w:val="1B2A32"/>
          <w:sz w:val="21"/>
        </w:rPr>
        <w:t>arbitrated</w:t>
      </w:r>
      <w:r>
        <w:rPr>
          <w:rFonts w:ascii="Calibri" w:hAnsi="Calibri"/>
          <w:b w:val="0"/>
          <w:i w:val="0"/>
          <w:color w:val="1B2A32"/>
          <w:sz w:val="21"/>
        </w:rPr>
        <w:t xml:space="preserve"> if the agreement so provides. Equator's taxonomy captures these facts at intake and routes the matter — resolving what it can and guiding to the correct forum what it cannot.</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6"/>
              </w:rPr>
              <w:t>Route</w:t>
            </w:r>
          </w:p>
        </w:tc>
        <w:tc>
          <w:tcPr>
            <w:tcW w:type="dxa" w:w="3992"/>
            <w:shd w:val="clear" w:color="auto" w:fill="123B4F"/>
            <w:tcMar>
              <w:top w:w="60" w:type="dxa"/>
              <w:bottom w:w="60" w:type="dxa"/>
              <w:start w:w="110" w:type="dxa"/>
              <w:end w:w="110" w:type="dxa"/>
            </w:tcMar>
          </w:tcPr>
          <w:p>
            <w:pPr>
              <w:spacing w:after="0"/>
            </w:pPr>
            <w:r>
              <w:rPr>
                <w:rFonts w:ascii="Calibri" w:hAnsi="Calibri"/>
                <w:b/>
                <w:i w:val="0"/>
                <w:color w:val="FFFFFF"/>
                <w:sz w:val="16"/>
              </w:rPr>
              <w:t>When it applies</w:t>
            </w:r>
          </w:p>
        </w:tc>
        <w:tc>
          <w:tcPr>
            <w:tcW w:type="dxa" w:w="3231"/>
            <w:shd w:val="clear" w:color="auto" w:fill="123B4F"/>
            <w:tcMar>
              <w:top w:w="60" w:type="dxa"/>
              <w:bottom w:w="60" w:type="dxa"/>
              <w:start w:w="110" w:type="dxa"/>
              <w:end w:w="110" w:type="dxa"/>
            </w:tcMar>
          </w:tcPr>
          <w:p>
            <w:pPr>
              <w:spacing w:after="0"/>
            </w:pPr>
            <w:r>
              <w:rPr>
                <w:rFonts w:ascii="Calibri" w:hAnsi="Calibri"/>
                <w:b/>
                <w:i w:val="0"/>
                <w:color w:val="FFFFFF"/>
                <w:sz w:val="16"/>
              </w:rPr>
              <w:t>Governing framework</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6"/>
              </w:rPr>
              <w:t>Mediation / conciliation &amp; OTS</w:t>
            </w:r>
          </w:p>
        </w:tc>
        <w:tc>
          <w:tcPr>
            <w:tcW w:type="dxa" w:w="3992"/>
            <w:tcMar>
              <w:top w:w="60" w:type="dxa"/>
              <w:bottom w:w="60" w:type="dxa"/>
              <w:start w:w="110" w:type="dxa"/>
              <w:end w:w="110" w:type="dxa"/>
            </w:tcMar>
          </w:tcPr>
          <w:p>
            <w:pPr>
              <w:spacing w:after="0"/>
              <w:jc w:val="left"/>
            </w:pPr>
            <w:r>
              <w:rPr>
                <w:rFonts w:ascii="Calibri" w:hAnsi="Calibri"/>
                <w:b w:val="0"/>
                <w:i w:val="0"/>
                <w:color w:val="1B2A32"/>
                <w:sz w:val="16"/>
              </w:rPr>
              <w:t>Recovery / contractual loan disputes; settlement</w:t>
            </w:r>
          </w:p>
        </w:tc>
        <w:tc>
          <w:tcPr>
            <w:tcW w:type="dxa" w:w="3231"/>
            <w:tcMar>
              <w:top w:w="60" w:type="dxa"/>
              <w:bottom w:w="60" w:type="dxa"/>
              <w:start w:w="110" w:type="dxa"/>
              <w:end w:w="110" w:type="dxa"/>
            </w:tcMar>
          </w:tcPr>
          <w:p>
            <w:pPr>
              <w:spacing w:after="0"/>
              <w:jc w:val="left"/>
            </w:pPr>
            <w:r>
              <w:rPr>
                <w:rFonts w:ascii="Calibri" w:hAnsi="Calibri"/>
                <w:b w:val="0"/>
                <w:i w:val="0"/>
                <w:color w:val="1B2A32"/>
                <w:sz w:val="16"/>
              </w:rPr>
              <w:t>Mediation Act, 2023; RBI compromise-settlement framework</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RBI Ombudsman</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Deficiency-in-service complaint vs a regulated entity</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RBI Integrated Ombudsman Scheme, 2021</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6"/>
              </w:rPr>
              <w:t>NI-138 (cheque bounce)</w:t>
            </w:r>
          </w:p>
        </w:tc>
        <w:tc>
          <w:tcPr>
            <w:tcW w:type="dxa" w:w="3992"/>
            <w:tcMar>
              <w:top w:w="60" w:type="dxa"/>
              <w:bottom w:w="60" w:type="dxa"/>
              <w:start w:w="110" w:type="dxa"/>
              <w:end w:w="110" w:type="dxa"/>
            </w:tcMar>
          </w:tcPr>
          <w:p>
            <w:pPr>
              <w:spacing w:after="0"/>
              <w:jc w:val="left"/>
            </w:pPr>
            <w:r>
              <w:rPr>
                <w:rFonts w:ascii="Calibri" w:hAnsi="Calibri"/>
                <w:b w:val="0"/>
                <w:i w:val="0"/>
                <w:color w:val="1B2A32"/>
                <w:sz w:val="16"/>
              </w:rPr>
              <w:t>Dishonoured cheque</w:t>
            </w:r>
          </w:p>
        </w:tc>
        <w:tc>
          <w:tcPr>
            <w:tcW w:type="dxa" w:w="3231"/>
            <w:tcMar>
              <w:top w:w="60" w:type="dxa"/>
              <w:bottom w:w="60" w:type="dxa"/>
              <w:start w:w="110" w:type="dxa"/>
              <w:end w:w="110" w:type="dxa"/>
            </w:tcMar>
          </w:tcPr>
          <w:p>
            <w:pPr>
              <w:spacing w:after="0"/>
              <w:jc w:val="left"/>
            </w:pPr>
            <w:r>
              <w:rPr>
                <w:rFonts w:ascii="Calibri" w:hAnsi="Calibri"/>
                <w:b w:val="0"/>
                <w:i w:val="0"/>
                <w:color w:val="1B2A32"/>
                <w:sz w:val="16"/>
              </w:rPr>
              <w:t>NI Act, 1881 ss.138, 147; SC guidelines; Lok Adalat</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Arbitration</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Arbitration clause + arbitrable dispute</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Arbitration &amp; Conciliation Act, 1996</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6"/>
              </w:rPr>
              <w:t>DRT / SARFAESI</w:t>
            </w:r>
          </w:p>
        </w:tc>
        <w:tc>
          <w:tcPr>
            <w:tcW w:type="dxa" w:w="3992"/>
            <w:tcMar>
              <w:top w:w="60" w:type="dxa"/>
              <w:bottom w:w="60" w:type="dxa"/>
              <w:start w:w="110" w:type="dxa"/>
              <w:end w:w="110" w:type="dxa"/>
            </w:tcMar>
          </w:tcPr>
          <w:p>
            <w:pPr>
              <w:spacing w:after="0"/>
              <w:jc w:val="left"/>
            </w:pPr>
            <w:r>
              <w:rPr>
                <w:rFonts w:ascii="Calibri" w:hAnsi="Calibri"/>
                <w:b w:val="0"/>
                <w:i w:val="0"/>
                <w:color w:val="1B2A32"/>
                <w:sz w:val="16"/>
              </w:rPr>
              <w:t>Bank/FI enforcing security / recovering debt</w:t>
            </w:r>
          </w:p>
        </w:tc>
        <w:tc>
          <w:tcPr>
            <w:tcW w:type="dxa" w:w="3231"/>
            <w:tcMar>
              <w:top w:w="60" w:type="dxa"/>
              <w:bottom w:w="60" w:type="dxa"/>
              <w:start w:w="110" w:type="dxa"/>
              <w:end w:w="110" w:type="dxa"/>
            </w:tcMar>
          </w:tcPr>
          <w:p>
            <w:pPr>
              <w:spacing w:after="0"/>
              <w:jc w:val="left"/>
            </w:pPr>
            <w:r>
              <w:rPr>
                <w:rFonts w:ascii="Calibri" w:hAnsi="Calibri"/>
                <w:b w:val="0"/>
                <w:i w:val="0"/>
                <w:color w:val="1B2A32"/>
                <w:sz w:val="16"/>
              </w:rPr>
              <w:t>SARFAESI 2002; RDDBFI 1993 (non-arbitrable)</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Consumer commission</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Borrower as consumer; deficiency</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Consumer Protection Act, 2019 (with mediation)</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6"/>
              </w:rPr>
              <w:t>Lok Adalat</w:t>
            </w:r>
          </w:p>
        </w:tc>
        <w:tc>
          <w:tcPr>
            <w:tcW w:type="dxa" w:w="3992"/>
            <w:tcMar>
              <w:top w:w="60" w:type="dxa"/>
              <w:bottom w:w="60" w:type="dxa"/>
              <w:start w:w="110" w:type="dxa"/>
              <w:end w:w="110" w:type="dxa"/>
            </w:tcMar>
          </w:tcPr>
          <w:p>
            <w:pPr>
              <w:spacing w:after="0"/>
              <w:jc w:val="left"/>
            </w:pPr>
            <w:r>
              <w:rPr>
                <w:rFonts w:ascii="Calibri" w:hAnsi="Calibri"/>
                <w:b w:val="0"/>
                <w:i w:val="0"/>
                <w:color w:val="1B2A32"/>
                <w:sz w:val="16"/>
              </w:rPr>
              <w:t>Any compromisable money matter</w:t>
            </w:r>
          </w:p>
        </w:tc>
        <w:tc>
          <w:tcPr>
            <w:tcW w:type="dxa" w:w="3231"/>
            <w:tcMar>
              <w:top w:w="60" w:type="dxa"/>
              <w:bottom w:w="60" w:type="dxa"/>
              <w:start w:w="110" w:type="dxa"/>
              <w:end w:w="110" w:type="dxa"/>
            </w:tcMar>
          </w:tcPr>
          <w:p>
            <w:pPr>
              <w:spacing w:after="0"/>
              <w:jc w:val="left"/>
            </w:pPr>
            <w:r>
              <w:rPr>
                <w:rFonts w:ascii="Calibri" w:hAnsi="Calibri"/>
                <w:b w:val="0"/>
                <w:i w:val="0"/>
                <w:color w:val="1B2A32"/>
                <w:sz w:val="16"/>
              </w:rPr>
              <w:t>Legal Services Authorities Act, 1987</w:t>
            </w:r>
          </w:p>
        </w:tc>
      </w:tr>
    </w:tbl>
    <w:p>
      <w:pPr>
        <w:spacing w:after="80"/>
      </w:pPr>
    </w:p>
    <w:p>
      <w:pPr>
        <w:spacing w:before="20" w:after="200"/>
        <w:jc w:val="center"/>
      </w:pPr>
      <w:r>
        <w:rPr>
          <w:rFonts w:ascii="Calibri" w:hAnsi="Calibri"/>
          <w:b w:val="0"/>
          <w:i/>
          <w:color w:val="556168"/>
          <w:sz w:val="17"/>
        </w:rPr>
        <w:t>Table 1 — Route selection for financial &amp; loan disputes.</w:t>
      </w:r>
    </w:p>
    <w:p>
      <w:pPr>
        <w:keepNext/>
        <w:spacing w:before="320" w:after="140"/>
        <w:pBdr>
          <w:bottom w:val="single" w:sz="12" w:space="3" w:color="C6A15B"/>
        </w:pBdr>
      </w:pPr>
      <w:r>
        <w:rPr>
          <w:rFonts w:ascii="Calibri" w:hAnsi="Calibri"/>
          <w:b/>
          <w:i w:val="0"/>
          <w:color w:val="123B4F"/>
          <w:sz w:val="34"/>
        </w:rPr>
        <w:t>6.  RBI Grievance Redressal &amp; the Integrated Ombudsman Scheme, 2021</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If a customer has a complaint against a bank, NBFC or digital lender — wrong charges, mis-selling, harassment, a service failure — they first complain to the entity; if it isn't resolved in </w:t>
            </w:r>
            <w:r>
              <w:rPr>
                <w:rFonts w:ascii="Calibri" w:hAnsi="Calibri"/>
                <w:b/>
                <w:i w:val="0"/>
                <w:color w:val="1B2A32"/>
                <w:sz w:val="20"/>
              </w:rPr>
              <w:t>30 days</w:t>
            </w:r>
            <w:r>
              <w:rPr>
                <w:rFonts w:ascii="Calibri" w:hAnsi="Calibri"/>
                <w:b w:val="0"/>
                <w:i w:val="0"/>
                <w:color w:val="1B2A32"/>
                <w:sz w:val="20"/>
              </w:rPr>
              <w:t xml:space="preserve">, or the reply is unsatisfactory, they escalate </w:t>
            </w:r>
            <w:r>
              <w:rPr>
                <w:rFonts w:ascii="Calibri" w:hAnsi="Calibri"/>
                <w:b/>
                <w:i w:val="0"/>
                <w:color w:val="1B2A32"/>
                <w:sz w:val="20"/>
              </w:rPr>
              <w:t>free of cost</w:t>
            </w:r>
            <w:r>
              <w:rPr>
                <w:rFonts w:ascii="Calibri" w:hAnsi="Calibri"/>
                <w:b w:val="0"/>
                <w:i w:val="0"/>
                <w:color w:val="1B2A32"/>
                <w:sz w:val="20"/>
              </w:rPr>
              <w:t xml:space="preserve"> to the </w:t>
            </w:r>
            <w:r>
              <w:rPr>
                <w:rFonts w:ascii="Calibri" w:hAnsi="Calibri"/>
                <w:b/>
                <w:i w:val="0"/>
                <w:color w:val="1B2A32"/>
                <w:sz w:val="20"/>
              </w:rPr>
              <w:t>RBI Ombudsman</w:t>
            </w:r>
            <w:r>
              <w:rPr>
                <w:rFonts w:ascii="Calibri" w:hAnsi="Calibri"/>
                <w:b w:val="0"/>
                <w:i w:val="0"/>
                <w:color w:val="1B2A32"/>
                <w:sz w:val="20"/>
              </w:rPr>
              <w:t xml:space="preserve"> via the online CMS portal. Equator helps borrowers use this route and mediates the underlying money dispute in parallel.</w:t>
            </w:r>
          </w:p>
        </w:tc>
      </w:tr>
    </w:tbl>
    <w:p>
      <w:pPr>
        <w:spacing w:after="120"/>
      </w:pPr>
    </w:p>
    <w:p>
      <w:pPr>
        <w:spacing w:after="140"/>
        <w:jc w:val="both"/>
      </w:pPr>
      <w:r>
        <w:rPr>
          <w:rFonts w:ascii="Calibri" w:hAnsi="Calibri"/>
          <w:b w:val="0"/>
          <w:i w:val="0"/>
          <w:color w:val="1B2A32"/>
          <w:sz w:val="21"/>
        </w:rPr>
        <w:t xml:space="preserve">The </w:t>
      </w:r>
      <w:r>
        <w:rPr>
          <w:rFonts w:ascii="Calibri" w:hAnsi="Calibri"/>
          <w:b/>
          <w:i w:val="0"/>
          <w:color w:val="1B2A32"/>
          <w:sz w:val="21"/>
        </w:rPr>
        <w:t>RBI Integrated Ombudsman Scheme, 2021</w:t>
      </w:r>
      <w:r>
        <w:rPr>
          <w:rFonts w:ascii="Calibri" w:hAnsi="Calibri"/>
          <w:b w:val="0"/>
          <w:i w:val="0"/>
          <w:color w:val="1B2A32"/>
          <w:sz w:val="21"/>
        </w:rPr>
        <w:t xml:space="preserve"> (‘One Nation, One Ombudsman’) consolidated the earlier Banking, NBFC and Digital-Transactions ombudsman schemes into a single, cost-free redress mechanism for </w:t>
      </w:r>
      <w:r>
        <w:rPr>
          <w:rFonts w:ascii="Calibri" w:hAnsi="Calibri"/>
          <w:b/>
          <w:i w:val="0"/>
          <w:color w:val="1B2A32"/>
          <w:sz w:val="21"/>
        </w:rPr>
        <w:t>deficiency in service</w:t>
      </w:r>
      <w:r>
        <w:rPr>
          <w:rFonts w:ascii="Calibri" w:hAnsi="Calibri"/>
          <w:b w:val="0"/>
          <w:i w:val="0"/>
          <w:color w:val="1B2A32"/>
          <w:sz w:val="21"/>
        </w:rPr>
        <w:t xml:space="preserve"> by RBI-regulated entities. A complaint lies to the Ombudsman where the regulated entity has rejected the complaint, replied unsatisfactorily, or </w:t>
      </w:r>
      <w:r>
        <w:rPr>
          <w:rFonts w:ascii="Calibri" w:hAnsi="Calibri"/>
          <w:b/>
          <w:i w:val="0"/>
          <w:color w:val="1B2A32"/>
          <w:sz w:val="21"/>
        </w:rPr>
        <w:t>not replied within 30 days</w:t>
      </w:r>
      <w:r>
        <w:rPr>
          <w:rFonts w:ascii="Calibri" w:hAnsi="Calibri"/>
          <w:b w:val="0"/>
          <w:i w:val="0"/>
          <w:color w:val="1B2A32"/>
          <w:sz w:val="21"/>
        </w:rPr>
        <w:t xml:space="preserve">. Complaints are filed online at the RBI Complaint Management System (cms.rbi.org.in). This is a </w:t>
      </w:r>
      <w:r>
        <w:rPr>
          <w:rFonts w:ascii="Calibri" w:hAnsi="Calibri"/>
          <w:b/>
          <w:i w:val="0"/>
          <w:color w:val="1B2A32"/>
          <w:sz w:val="21"/>
        </w:rPr>
        <w:t>grievance</w:t>
      </w:r>
      <w:r>
        <w:rPr>
          <w:rFonts w:ascii="Calibri" w:hAnsi="Calibri"/>
          <w:b w:val="0"/>
          <w:i w:val="0"/>
          <w:color w:val="1B2A32"/>
          <w:sz w:val="21"/>
        </w:rPr>
        <w:t xml:space="preserve"> route, not a general dispute-resolution forum: it addresses service deficiency, not the merits of a contractual recovery dispute. Equator's role is to help borrowers navigate it and to </w:t>
      </w:r>
      <w:r>
        <w:rPr>
          <w:rFonts w:ascii="Calibri" w:hAnsi="Calibri"/>
          <w:b/>
          <w:i w:val="0"/>
          <w:color w:val="1B2A32"/>
          <w:sz w:val="21"/>
        </w:rPr>
        <w:t>mediate the underlying dispute</w:t>
      </w:r>
      <w:r>
        <w:rPr>
          <w:rFonts w:ascii="Calibri" w:hAnsi="Calibri"/>
          <w:b w:val="0"/>
          <w:i w:val="0"/>
          <w:color w:val="1B2A32"/>
          <w:sz w:val="21"/>
        </w:rPr>
        <w:t xml:space="preserve"> (for example, a disputed charge or an OTS) so that the money issue is actually resolved.</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RBI Integrated Ombudsman Scheme, 2021 (effective 12 November 2021), integrating the Banking Ombudsman Scheme 2006, the NBFC Ombudsman Scheme 2018 and the Ombudsman Scheme for Digital Transactions 2019; cost-free; 30-day escalation; CMS portal. Regulated entities of a specified size must also have an </w:t>
            </w:r>
            <w:r>
              <w:rPr>
                <w:rFonts w:ascii="Calibri" w:hAnsi="Calibri"/>
                <w:b/>
                <w:i w:val="0"/>
                <w:color w:val="1B2A32"/>
                <w:sz w:val="20"/>
              </w:rPr>
              <w:t>Internal Ombudsman</w:t>
            </w:r>
            <w:r>
              <w:rPr>
                <w:rFonts w:ascii="Calibri" w:hAnsi="Calibri"/>
                <w:b w:val="0"/>
                <w:i w:val="0"/>
                <w:color w:val="1B2A32"/>
                <w:sz w:val="20"/>
              </w:rPr>
              <w:t>.</w:t>
            </w:r>
          </w:p>
        </w:tc>
      </w:tr>
    </w:tbl>
    <w:p>
      <w:pPr>
        <w:spacing w:after="120"/>
      </w:pPr>
    </w:p>
    <w:p>
      <w:pPr>
        <w:spacing w:before="80" w:after="40"/>
        <w:jc w:val="center"/>
      </w:pPr>
      <w:r>
        <w:drawing>
          <wp:inline xmlns:a="http://schemas.openxmlformats.org/drawingml/2006/main" xmlns:pic="http://schemas.openxmlformats.org/drawingml/2006/picture">
            <wp:extent cx="3840480" cy="3390264"/>
            <wp:docPr id="2" name="Picture 2"/>
            <wp:cNvGraphicFramePr>
              <a:graphicFrameLocks noChangeAspect="1"/>
            </wp:cNvGraphicFramePr>
            <a:graphic>
              <a:graphicData uri="http://schemas.openxmlformats.org/drawingml/2006/picture">
                <pic:pic>
                  <pic:nvPicPr>
                    <pic:cNvPr id="0" name="fl03_ombudsman.png"/>
                    <pic:cNvPicPr/>
                  </pic:nvPicPr>
                  <pic:blipFill>
                    <a:blip r:embed="rId10"/>
                    <a:stretch>
                      <a:fillRect/>
                    </a:stretch>
                  </pic:blipFill>
                  <pic:spPr>
                    <a:xfrm>
                      <a:off x="0" y="0"/>
                      <a:ext cx="3840480" cy="3390264"/>
                    </a:xfrm>
                    <a:prstGeom prst="rect"/>
                  </pic:spPr>
                </pic:pic>
              </a:graphicData>
            </a:graphic>
          </wp:inline>
        </w:drawing>
      </w:r>
    </w:p>
    <w:p>
      <w:pPr>
        <w:spacing w:before="20" w:after="200"/>
        <w:jc w:val="center"/>
      </w:pPr>
      <w:r>
        <w:rPr>
          <w:rFonts w:ascii="Calibri" w:hAnsi="Calibri"/>
          <w:b w:val="0"/>
          <w:i/>
          <w:color w:val="556168"/>
          <w:sz w:val="17"/>
        </w:rPr>
        <w:t>Figure 2 — RBI grievance and Ombudsman escalation, with Equator mediating in parallel.</w:t>
      </w:r>
    </w:p>
    <w:p>
      <w:pPr>
        <w:keepNext/>
        <w:spacing w:before="320" w:after="140"/>
        <w:pBdr>
          <w:bottom w:val="single" w:sz="12" w:space="3" w:color="C6A15B"/>
        </w:pBdr>
      </w:pPr>
      <w:r>
        <w:rPr>
          <w:rFonts w:ascii="Calibri" w:hAnsi="Calibri"/>
          <w:b/>
          <w:i w:val="0"/>
          <w:color w:val="123B4F"/>
          <w:sz w:val="34"/>
        </w:rPr>
        <w:t>7.  Digital Lending (RBI Directions, 2025)</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Digital loans (app-based, BNPL, instant credit) have their own RBI rulebook, tightened in 2025: clear up-front disclosure (a Key Fact Statement), a cooling-off period, no hidden charges, and a </w:t>
            </w:r>
            <w:r>
              <w:rPr>
                <w:rFonts w:ascii="Calibri" w:hAnsi="Calibri"/>
                <w:b/>
                <w:i w:val="0"/>
                <w:color w:val="1B2A32"/>
                <w:sz w:val="20"/>
              </w:rPr>
              <w:t>named grievance officer</w:t>
            </w:r>
            <w:r>
              <w:rPr>
                <w:rFonts w:ascii="Calibri" w:hAnsi="Calibri"/>
                <w:b w:val="0"/>
                <w:i w:val="0"/>
                <w:color w:val="1B2A32"/>
                <w:sz w:val="20"/>
              </w:rPr>
              <w:t xml:space="preserve"> at the lender and the lending app — with escalation to the RBI Ombudsman. Disputes here are a fast-growing Equator segment.</w:t>
            </w:r>
          </w:p>
        </w:tc>
      </w:tr>
    </w:tbl>
    <w:p>
      <w:pPr>
        <w:spacing w:after="120"/>
      </w:pPr>
    </w:p>
    <w:p>
      <w:pPr>
        <w:spacing w:after="140"/>
        <w:jc w:val="both"/>
      </w:pPr>
      <w:r>
        <w:rPr>
          <w:rFonts w:ascii="Calibri" w:hAnsi="Calibri"/>
          <w:b w:val="0"/>
          <w:i w:val="0"/>
          <w:color w:val="1B2A32"/>
          <w:sz w:val="21"/>
        </w:rPr>
        <w:t xml:space="preserve">The </w:t>
      </w:r>
      <w:r>
        <w:rPr>
          <w:rFonts w:ascii="Calibri" w:hAnsi="Calibri"/>
          <w:b/>
          <w:i w:val="0"/>
          <w:color w:val="1B2A32"/>
          <w:sz w:val="21"/>
        </w:rPr>
        <w:t>RBI (Digital Lending) Directions, 2025</w:t>
      </w:r>
      <w:r>
        <w:rPr>
          <w:rFonts w:ascii="Calibri" w:hAnsi="Calibri"/>
          <w:b w:val="0"/>
          <w:i w:val="0"/>
          <w:color w:val="1B2A32"/>
          <w:sz w:val="21"/>
        </w:rPr>
        <w:t xml:space="preserve"> (issued 8 May 2025) reset the rules for app-based and platform lending to protect borrowers and increase oversight. Every </w:t>
      </w:r>
      <w:r>
        <w:rPr>
          <w:rFonts w:ascii="Calibri" w:hAnsi="Calibri"/>
          <w:b/>
          <w:i w:val="0"/>
          <w:color w:val="1B2A32"/>
          <w:sz w:val="21"/>
        </w:rPr>
        <w:t>Regulated Entity (RE)</w:t>
      </w:r>
      <w:r>
        <w:rPr>
          <w:rFonts w:ascii="Calibri" w:hAnsi="Calibri"/>
          <w:b w:val="0"/>
          <w:i w:val="0"/>
          <w:color w:val="1B2A32"/>
          <w:sz w:val="21"/>
        </w:rPr>
        <w:t xml:space="preserve"> and </w:t>
      </w:r>
      <w:r>
        <w:rPr>
          <w:rFonts w:ascii="Calibri" w:hAnsi="Calibri"/>
          <w:b/>
          <w:i w:val="0"/>
          <w:color w:val="1B2A32"/>
          <w:sz w:val="21"/>
        </w:rPr>
        <w:t>Lending Service Provider (LSP)</w:t>
      </w:r>
      <w:r>
        <w:rPr>
          <w:rFonts w:ascii="Calibri" w:hAnsi="Calibri"/>
          <w:b w:val="0"/>
          <w:i w:val="0"/>
          <w:color w:val="1B2A32"/>
          <w:sz w:val="21"/>
        </w:rPr>
        <w:t xml:space="preserve"> with a borrower interface must designate a </w:t>
      </w:r>
      <w:r>
        <w:rPr>
          <w:rFonts w:ascii="Calibri" w:hAnsi="Calibri"/>
          <w:b/>
          <w:i w:val="0"/>
          <w:color w:val="1B2A32"/>
          <w:sz w:val="21"/>
        </w:rPr>
        <w:t>nodal grievance-redressal officer</w:t>
      </w:r>
      <w:r>
        <w:rPr>
          <w:rFonts w:ascii="Calibri" w:hAnsi="Calibri"/>
          <w:b w:val="0"/>
          <w:i w:val="0"/>
          <w:color w:val="1B2A32"/>
          <w:sz w:val="21"/>
        </w:rPr>
        <w:t xml:space="preserve"> for digital-lending complaints; if a complaint is not resolved within 30 days, the borrower may escalate to the RBI Ombudsman. The Directions require a </w:t>
      </w:r>
      <w:r>
        <w:rPr>
          <w:rFonts w:ascii="Calibri" w:hAnsi="Calibri"/>
          <w:b/>
          <w:i w:val="0"/>
          <w:color w:val="1B2A32"/>
          <w:sz w:val="21"/>
        </w:rPr>
        <w:t>Key Fact Statement</w:t>
      </w:r>
      <w:r>
        <w:rPr>
          <w:rFonts w:ascii="Calibri" w:hAnsi="Calibri"/>
          <w:b w:val="0"/>
          <w:i w:val="0"/>
          <w:color w:val="1B2A32"/>
          <w:sz w:val="21"/>
        </w:rPr>
        <w:t>, a cooling-off/look-up period, transparency on charges and recovery, and controls on data and conduct. Common disputes — hidden charges, mis-selling, coercive recovery, wrong credit-bureau reporting, and default/settlement — are squarely mediatable, and Equator provides both the grievance-navigation help and the settlement forum.</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RBI (Digital Lending) Directions, 2025 (8 May 2025): nodal grievance officer for RE &amp; LSP; Key Fact Statement; cooling-off period; transparency and data/recovery controls; escalation to the RBI Ombudsman. Read with the RBI Fair Practices Code for NBFCs.</w:t>
            </w:r>
          </w:p>
        </w:tc>
      </w:tr>
    </w:tbl>
    <w:p>
      <w:pPr>
        <w:spacing w:after="120"/>
      </w:pPr>
    </w:p>
    <w:p>
      <w:pPr>
        <w:spacing w:before="80" w:after="40"/>
        <w:jc w:val="center"/>
      </w:pPr>
      <w:r>
        <w:drawing>
          <wp:inline xmlns:a="http://schemas.openxmlformats.org/drawingml/2006/main" xmlns:pic="http://schemas.openxmlformats.org/drawingml/2006/picture">
            <wp:extent cx="5852160" cy="513962"/>
            <wp:docPr id="3" name="Picture 3"/>
            <wp:cNvGraphicFramePr>
              <a:graphicFrameLocks noChangeAspect="1"/>
            </wp:cNvGraphicFramePr>
            <a:graphic>
              <a:graphicData uri="http://schemas.openxmlformats.org/drawingml/2006/picture">
                <pic:pic>
                  <pic:nvPicPr>
                    <pic:cNvPr id="0" name="fl06_digital_lending.png"/>
                    <pic:cNvPicPr/>
                  </pic:nvPicPr>
                  <pic:blipFill>
                    <a:blip r:embed="rId11"/>
                    <a:stretch>
                      <a:fillRect/>
                    </a:stretch>
                  </pic:blipFill>
                  <pic:spPr>
                    <a:xfrm>
                      <a:off x="0" y="0"/>
                      <a:ext cx="5852160" cy="513962"/>
                    </a:xfrm>
                    <a:prstGeom prst="rect"/>
                  </pic:spPr>
                </pic:pic>
              </a:graphicData>
            </a:graphic>
          </wp:inline>
        </w:drawing>
      </w:r>
    </w:p>
    <w:p>
      <w:pPr>
        <w:spacing w:before="20" w:after="200"/>
        <w:jc w:val="center"/>
      </w:pPr>
      <w:r>
        <w:rPr>
          <w:rFonts w:ascii="Calibri" w:hAnsi="Calibri"/>
          <w:b w:val="0"/>
          <w:i/>
          <w:color w:val="556168"/>
          <w:sz w:val="17"/>
        </w:rPr>
        <w:t>Figure 3 — The digital-lending grievance path and Equator's mediation of the underlying dispute.</w:t>
      </w:r>
    </w:p>
    <w:p>
      <w:pPr>
        <w:keepNext/>
        <w:spacing w:before="320" w:after="140"/>
        <w:pBdr>
          <w:bottom w:val="single" w:sz="12" w:space="3" w:color="C6A15B"/>
        </w:pBdr>
      </w:pPr>
      <w:r>
        <w:rPr>
          <w:rFonts w:ascii="Calibri" w:hAnsi="Calibri"/>
          <w:b/>
          <w:i w:val="0"/>
          <w:color w:val="123B4F"/>
          <w:sz w:val="34"/>
        </w:rPr>
        <w:t>8.  Cheque Bounce — Section 138 of the Negotiable Instruments Act</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A bounced cheque is a criminal offence (Section 138) — but the courts treat it as </w:t>
            </w:r>
            <w:r>
              <w:rPr>
                <w:rFonts w:ascii="Calibri" w:hAnsi="Calibri"/>
                <w:b/>
                <w:i w:val="0"/>
                <w:color w:val="1B2A32"/>
                <w:sz w:val="20"/>
              </w:rPr>
              <w:t>compensatory</w:t>
            </w:r>
            <w:r>
              <w:rPr>
                <w:rFonts w:ascii="Calibri" w:hAnsi="Calibri"/>
                <w:b w:val="0"/>
                <w:i w:val="0"/>
                <w:color w:val="1B2A32"/>
                <w:sz w:val="20"/>
              </w:rPr>
              <w:t xml:space="preserve">, and actively push parties to </w:t>
            </w:r>
            <w:r>
              <w:rPr>
                <w:rFonts w:ascii="Calibri" w:hAnsi="Calibri"/>
                <w:b/>
                <w:i w:val="0"/>
                <w:color w:val="1B2A32"/>
                <w:sz w:val="20"/>
              </w:rPr>
              <w:t>settle</w:t>
            </w:r>
            <w:r>
              <w:rPr>
                <w:rFonts w:ascii="Calibri" w:hAnsi="Calibri"/>
                <w:b w:val="0"/>
                <w:i w:val="0"/>
                <w:color w:val="1B2A32"/>
                <w:sz w:val="20"/>
              </w:rPr>
              <w:t xml:space="preserve">. A settlement can close the case by </w:t>
            </w:r>
            <w:r>
              <w:rPr>
                <w:rFonts w:ascii="Calibri" w:hAnsi="Calibri"/>
                <w:b/>
                <w:i w:val="0"/>
                <w:color w:val="1B2A32"/>
                <w:sz w:val="20"/>
              </w:rPr>
              <w:t>compounding</w:t>
            </w:r>
            <w:r>
              <w:rPr>
                <w:rFonts w:ascii="Calibri" w:hAnsi="Calibri"/>
                <w:b w:val="0"/>
                <w:i w:val="0"/>
                <w:color w:val="1B2A32"/>
                <w:sz w:val="20"/>
              </w:rPr>
              <w:t xml:space="preserve"> (Section 147) or in a </w:t>
            </w:r>
            <w:r>
              <w:rPr>
                <w:rFonts w:ascii="Calibri" w:hAnsi="Calibri"/>
                <w:b/>
                <w:i w:val="0"/>
                <w:color w:val="1B2A32"/>
                <w:sz w:val="20"/>
              </w:rPr>
              <w:t>Lok Adalat</w:t>
            </w:r>
            <w:r>
              <w:rPr>
                <w:rFonts w:ascii="Calibri" w:hAnsi="Calibri"/>
                <w:b w:val="0"/>
                <w:i w:val="0"/>
                <w:color w:val="1B2A32"/>
                <w:sz w:val="20"/>
              </w:rPr>
              <w:t xml:space="preserve"> (whose award is a final decree). This is one of Equator's highest-volume, fastest-win segments.</w:t>
            </w:r>
          </w:p>
        </w:tc>
      </w:tr>
    </w:tbl>
    <w:p>
      <w:pPr>
        <w:spacing w:after="120"/>
      </w:pPr>
    </w:p>
    <w:p>
      <w:pPr>
        <w:spacing w:after="140"/>
        <w:jc w:val="both"/>
      </w:pPr>
      <w:r>
        <w:rPr>
          <w:rFonts w:ascii="Calibri" w:hAnsi="Calibri"/>
          <w:b w:val="0"/>
          <w:i w:val="0"/>
          <w:color w:val="1B2A32"/>
          <w:sz w:val="21"/>
        </w:rPr>
        <w:t xml:space="preserve">Section 138 of the NI Act criminalises the dishonour of a cheque for insufficiency of funds, where the drawer fails to pay within 15 days of a demand notice served within 30 days of dishonour. Although criminal, the offence is </w:t>
      </w:r>
      <w:r>
        <w:rPr>
          <w:rFonts w:ascii="Calibri" w:hAnsi="Calibri"/>
          <w:b/>
          <w:i w:val="0"/>
          <w:color w:val="1B2A32"/>
          <w:sz w:val="21"/>
        </w:rPr>
        <w:t>primarily compensatory</w:t>
      </w:r>
      <w:r>
        <w:rPr>
          <w:rFonts w:ascii="Calibri" w:hAnsi="Calibri"/>
          <w:b w:val="0"/>
          <w:i w:val="0"/>
          <w:color w:val="1B2A32"/>
          <w:sz w:val="21"/>
        </w:rPr>
        <w:t xml:space="preserve">, and Section 147 makes it </w:t>
      </w:r>
      <w:r>
        <w:rPr>
          <w:rFonts w:ascii="Calibri" w:hAnsi="Calibri"/>
          <w:b/>
          <w:i w:val="0"/>
          <w:color w:val="1B2A32"/>
          <w:sz w:val="21"/>
        </w:rPr>
        <w:t>compoundable</w:t>
      </w:r>
      <w:r>
        <w:rPr>
          <w:rFonts w:ascii="Calibri" w:hAnsi="Calibri"/>
          <w:b w:val="0"/>
          <w:i w:val="0"/>
          <w:color w:val="1B2A32"/>
          <w:sz w:val="21"/>
        </w:rPr>
        <w:t xml:space="preserve">. The Supreme Court has repeatedly encouraged early settlement: in </w:t>
      </w:r>
      <w:r>
        <w:rPr>
          <w:rFonts w:ascii="Calibri" w:hAnsi="Calibri"/>
          <w:b/>
          <w:i w:val="0"/>
          <w:color w:val="1B2A32"/>
          <w:sz w:val="21"/>
        </w:rPr>
        <w:t>Damodar S. Prabhu v. Sayed Babalal</w:t>
      </w:r>
      <w:r>
        <w:rPr>
          <w:rFonts w:ascii="Calibri" w:hAnsi="Calibri"/>
          <w:b w:val="0"/>
          <w:i w:val="0"/>
          <w:color w:val="1B2A32"/>
          <w:sz w:val="21"/>
        </w:rPr>
        <w:t xml:space="preserve"> it set a graded-cost scale to reward early compounding (rising from a small percentage of the cheque amount before evidence to higher percentages on appeal), and in </w:t>
      </w:r>
      <w:r>
        <w:rPr>
          <w:rFonts w:ascii="Calibri" w:hAnsi="Calibri"/>
          <w:b/>
          <w:i w:val="0"/>
          <w:color w:val="1B2A32"/>
          <w:sz w:val="21"/>
        </w:rPr>
        <w:t>Indian Bank Association v. Union of India</w:t>
      </w:r>
      <w:r>
        <w:rPr>
          <w:rFonts w:ascii="Calibri" w:hAnsi="Calibri"/>
          <w:b w:val="0"/>
          <w:i w:val="0"/>
          <w:color w:val="1B2A32"/>
          <w:sz w:val="21"/>
        </w:rPr>
        <w:t xml:space="preserve"> it issued guidelines for speedy trial and settlement, expressly promoting mediation and Lok Adalats. High Courts have confirmed that a Section 138 matter may lawfully be </w:t>
      </w:r>
      <w:r>
        <w:rPr>
          <w:rFonts w:ascii="Calibri" w:hAnsi="Calibri"/>
          <w:b/>
          <w:i w:val="0"/>
          <w:color w:val="1B2A32"/>
          <w:sz w:val="21"/>
        </w:rPr>
        <w:t>referred to mediation</w:t>
      </w:r>
      <w:r>
        <w:rPr>
          <w:rFonts w:ascii="Calibri" w:hAnsi="Calibri"/>
          <w:b w:val="0"/>
          <w:i w:val="0"/>
          <w:color w:val="1B2A32"/>
          <w:sz w:val="21"/>
        </w:rPr>
        <w:t xml:space="preserve">. A settlement reached at Equator is carried to </w:t>
      </w:r>
      <w:r>
        <w:rPr>
          <w:rFonts w:ascii="Calibri" w:hAnsi="Calibri"/>
          <w:b/>
          <w:i w:val="0"/>
          <w:color w:val="1B2A32"/>
          <w:sz w:val="21"/>
        </w:rPr>
        <w:t>compounding</w:t>
      </w:r>
      <w:r>
        <w:rPr>
          <w:rFonts w:ascii="Calibri" w:hAnsi="Calibri"/>
          <w:b w:val="0"/>
          <w:i w:val="0"/>
          <w:color w:val="1B2A32"/>
          <w:sz w:val="21"/>
        </w:rPr>
        <w:t xml:space="preserve"> before the court, or recorded in a </w:t>
      </w:r>
      <w:r>
        <w:rPr>
          <w:rFonts w:ascii="Calibri" w:hAnsi="Calibri"/>
          <w:b/>
          <w:i w:val="0"/>
          <w:color w:val="1B2A32"/>
          <w:sz w:val="21"/>
        </w:rPr>
        <w:t>Lok Adalat</w:t>
      </w:r>
      <w:r>
        <w:rPr>
          <w:rFonts w:ascii="Calibri" w:hAnsi="Calibri"/>
          <w:b w:val="0"/>
          <w:i w:val="0"/>
          <w:color w:val="1B2A32"/>
          <w:sz w:val="21"/>
        </w:rPr>
        <w:t xml:space="preserve"> (whose award has the force of a civil-court decree, final and executable), with the payment secured through escrow and released on closure.</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NI Act, 1881: s.138 (dishonour offence), s.147 (compoundable). </w:t>
            </w:r>
            <w:r>
              <w:rPr>
                <w:rFonts w:ascii="Calibri" w:hAnsi="Calibri"/>
                <w:b/>
                <w:i w:val="0"/>
                <w:color w:val="1B2A32"/>
                <w:sz w:val="20"/>
              </w:rPr>
              <w:t>Damodar S. Prabhu v. Sayed Babalal H., (2010) 5 SCC 663</w:t>
            </w:r>
            <w:r>
              <w:rPr>
                <w:rFonts w:ascii="Calibri" w:hAnsi="Calibri"/>
                <w:b w:val="0"/>
                <w:i w:val="0"/>
                <w:color w:val="1B2A32"/>
                <w:sz w:val="20"/>
              </w:rPr>
              <w:t xml:space="preserve"> (graded compounding costs); </w:t>
            </w:r>
            <w:r>
              <w:rPr>
                <w:rFonts w:ascii="Calibri" w:hAnsi="Calibri"/>
                <w:b/>
                <w:i w:val="0"/>
                <w:color w:val="1B2A32"/>
                <w:sz w:val="20"/>
              </w:rPr>
              <w:t>Indian Bank Association v. Union of India, (2014) 5 SCC 590</w:t>
            </w:r>
            <w:r>
              <w:rPr>
                <w:rFonts w:ascii="Calibri" w:hAnsi="Calibri"/>
                <w:b w:val="0"/>
                <w:i w:val="0"/>
                <w:color w:val="1B2A32"/>
                <w:sz w:val="20"/>
              </w:rPr>
              <w:t xml:space="preserve"> (speedy-trial guidelines; encourage compounding/mediation/Lok Adalat); </w:t>
            </w:r>
            <w:r>
              <w:rPr>
                <w:rFonts w:ascii="Calibri" w:hAnsi="Calibri"/>
                <w:b/>
                <w:i w:val="0"/>
                <w:color w:val="1B2A32"/>
                <w:sz w:val="20"/>
              </w:rPr>
              <w:t>Meters &amp; Instruments v. Kanchan Mehta, (2018) 1 SCC 560</w:t>
            </w:r>
            <w:r>
              <w:rPr>
                <w:rFonts w:ascii="Calibri" w:hAnsi="Calibri"/>
                <w:b w:val="0"/>
                <w:i w:val="0"/>
                <w:color w:val="1B2A32"/>
                <w:sz w:val="20"/>
              </w:rPr>
              <w:t xml:space="preserve"> (compensatory nature; closure on payment). Lok Adalat award: Legal Services Authorities Act, 1987 s.21 (decree; no appeal).</w:t>
            </w:r>
          </w:p>
        </w:tc>
      </w:tr>
    </w:tbl>
    <w:p>
      <w:pPr>
        <w:spacing w:after="120"/>
      </w:pPr>
    </w:p>
    <w:p>
      <w:pPr>
        <w:spacing w:before="80" w:after="40"/>
        <w:jc w:val="center"/>
      </w:pPr>
      <w:r>
        <w:drawing>
          <wp:inline xmlns:a="http://schemas.openxmlformats.org/drawingml/2006/main" xmlns:pic="http://schemas.openxmlformats.org/drawingml/2006/picture">
            <wp:extent cx="4114800" cy="2947024"/>
            <wp:docPr id="4" name="Picture 4"/>
            <wp:cNvGraphicFramePr>
              <a:graphicFrameLocks noChangeAspect="1"/>
            </wp:cNvGraphicFramePr>
            <a:graphic>
              <a:graphicData uri="http://schemas.openxmlformats.org/drawingml/2006/picture">
                <pic:pic>
                  <pic:nvPicPr>
                    <pic:cNvPr id="0" name="fl04_ni138.png"/>
                    <pic:cNvPicPr/>
                  </pic:nvPicPr>
                  <pic:blipFill>
                    <a:blip r:embed="rId12"/>
                    <a:stretch>
                      <a:fillRect/>
                    </a:stretch>
                  </pic:blipFill>
                  <pic:spPr>
                    <a:xfrm>
                      <a:off x="0" y="0"/>
                      <a:ext cx="4114800" cy="2947024"/>
                    </a:xfrm>
                    <a:prstGeom prst="rect"/>
                  </pic:spPr>
                </pic:pic>
              </a:graphicData>
            </a:graphic>
          </wp:inline>
        </w:drawing>
      </w:r>
    </w:p>
    <w:p>
      <w:pPr>
        <w:spacing w:before="20" w:after="200"/>
        <w:jc w:val="center"/>
      </w:pPr>
      <w:r>
        <w:rPr>
          <w:rFonts w:ascii="Calibri" w:hAnsi="Calibri"/>
          <w:b w:val="0"/>
          <w:i/>
          <w:color w:val="556168"/>
          <w:sz w:val="17"/>
        </w:rPr>
        <w:t>Figure 4 — Cheque-bounce settlement through mediation to compounding or Lok Adalat.</w:t>
      </w:r>
    </w:p>
    <w:p>
      <w:pPr>
        <w:keepNext/>
        <w:spacing w:before="320" w:after="140"/>
        <w:pBdr>
          <w:bottom w:val="single" w:sz="12" w:space="3" w:color="C6A15B"/>
        </w:pBdr>
      </w:pPr>
      <w:r>
        <w:rPr>
          <w:rFonts w:ascii="Calibri" w:hAnsi="Calibri"/>
          <w:b/>
          <w:i w:val="0"/>
          <w:color w:val="123B4F"/>
          <w:sz w:val="34"/>
        </w:rPr>
        <w:t>9.  SARFAESI, the DRT &amp; Arbitrability of Loan Disputes</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When a </w:t>
            </w:r>
            <w:r>
              <w:rPr>
                <w:rFonts w:ascii="Calibri" w:hAnsi="Calibri"/>
                <w:b/>
                <w:i w:val="0"/>
                <w:color w:val="1B2A32"/>
                <w:sz w:val="20"/>
              </w:rPr>
              <w:t>bank or FI enforces security</w:t>
            </w:r>
            <w:r>
              <w:rPr>
                <w:rFonts w:ascii="Calibri" w:hAnsi="Calibri"/>
                <w:b w:val="0"/>
                <w:i w:val="0"/>
                <w:color w:val="1B2A32"/>
                <w:sz w:val="20"/>
              </w:rPr>
              <w:t xml:space="preserve"> (mortgaged property, hypothecated assets) or recovers a large debt, that goes to the </w:t>
            </w:r>
            <w:r>
              <w:rPr>
                <w:rFonts w:ascii="Calibri" w:hAnsi="Calibri"/>
                <w:b/>
                <w:i w:val="0"/>
                <w:color w:val="1B2A32"/>
                <w:sz w:val="20"/>
              </w:rPr>
              <w:t>DRT</w:t>
            </w:r>
            <w:r>
              <w:rPr>
                <w:rFonts w:ascii="Calibri" w:hAnsi="Calibri"/>
                <w:b w:val="0"/>
                <w:i w:val="0"/>
                <w:color w:val="1B2A32"/>
                <w:sz w:val="20"/>
              </w:rPr>
              <w:t xml:space="preserve"> under special laws — and such disputes are </w:t>
            </w:r>
            <w:r>
              <w:rPr>
                <w:rFonts w:ascii="Calibri" w:hAnsi="Calibri"/>
                <w:b/>
                <w:i w:val="0"/>
                <w:color w:val="1B2A32"/>
                <w:sz w:val="20"/>
              </w:rPr>
              <w:t>not arbitrable</w:t>
            </w:r>
            <w:r>
              <w:rPr>
                <w:rFonts w:ascii="Calibri" w:hAnsi="Calibri"/>
                <w:b w:val="0"/>
                <w:i w:val="0"/>
                <w:color w:val="1B2A32"/>
                <w:sz w:val="20"/>
              </w:rPr>
              <w:t xml:space="preserve"> and not for Equator to decide. But ordinary </w:t>
            </w:r>
            <w:r>
              <w:rPr>
                <w:rFonts w:ascii="Calibri" w:hAnsi="Calibri"/>
                <w:b/>
                <w:i w:val="0"/>
                <w:color w:val="1B2A32"/>
                <w:sz w:val="20"/>
              </w:rPr>
              <w:t>loan/contractual recovery</w:t>
            </w:r>
            <w:r>
              <w:rPr>
                <w:rFonts w:ascii="Calibri" w:hAnsi="Calibri"/>
                <w:b w:val="0"/>
                <w:i w:val="0"/>
                <w:color w:val="1B2A32"/>
                <w:sz w:val="20"/>
              </w:rPr>
              <w:t xml:space="preserve"> disputes (especially by NBFCs and fintechs) </w:t>
            </w:r>
            <w:r>
              <w:rPr>
                <w:rFonts w:ascii="Calibri" w:hAnsi="Calibri"/>
                <w:b/>
                <w:i w:val="0"/>
                <w:color w:val="1B2A32"/>
                <w:sz w:val="20"/>
              </w:rPr>
              <w:t>can</w:t>
            </w:r>
            <w:r>
              <w:rPr>
                <w:rFonts w:ascii="Calibri" w:hAnsi="Calibri"/>
                <w:b w:val="0"/>
                <w:i w:val="0"/>
                <w:color w:val="1B2A32"/>
                <w:sz w:val="20"/>
              </w:rPr>
              <w:t xml:space="preserve"> be mediated or arbitrated. Getting this line right at intake is essential.</w:t>
            </w:r>
          </w:p>
        </w:tc>
      </w:tr>
    </w:tbl>
    <w:p>
      <w:pPr>
        <w:spacing w:after="120"/>
      </w:pPr>
    </w:p>
    <w:p>
      <w:pPr>
        <w:spacing w:after="140"/>
        <w:jc w:val="both"/>
      </w:pPr>
      <w:r>
        <w:rPr>
          <w:rFonts w:ascii="Calibri" w:hAnsi="Calibri"/>
          <w:b w:val="0"/>
          <w:i w:val="0"/>
          <w:color w:val="1B2A32"/>
          <w:sz w:val="21"/>
        </w:rPr>
        <w:t xml:space="preserve">Two special statutes reserve bank/FI recovery to a dedicated forum. The </w:t>
      </w:r>
      <w:r>
        <w:rPr>
          <w:rFonts w:ascii="Calibri" w:hAnsi="Calibri"/>
          <w:b/>
          <w:i w:val="0"/>
          <w:color w:val="1B2A32"/>
          <w:sz w:val="21"/>
        </w:rPr>
        <w:t>SARFAESI Act, 2002</w:t>
      </w:r>
      <w:r>
        <w:rPr>
          <w:rFonts w:ascii="Calibri" w:hAnsi="Calibri"/>
          <w:b w:val="0"/>
          <w:i w:val="0"/>
          <w:color w:val="1B2A32"/>
          <w:sz w:val="21"/>
        </w:rPr>
        <w:t xml:space="preserve"> lets a secured creditor enforce its security interest without court intervention (Section 13), with the borrower's remedy lying to the </w:t>
      </w:r>
      <w:r>
        <w:rPr>
          <w:rFonts w:ascii="Calibri" w:hAnsi="Calibri"/>
          <w:b/>
          <w:i w:val="0"/>
          <w:color w:val="1B2A32"/>
          <w:sz w:val="21"/>
        </w:rPr>
        <w:t>Debts Recovery Tribunal (DRT)</w:t>
      </w:r>
      <w:r>
        <w:rPr>
          <w:rFonts w:ascii="Calibri" w:hAnsi="Calibri"/>
          <w:b w:val="0"/>
          <w:i w:val="0"/>
          <w:color w:val="1B2A32"/>
          <w:sz w:val="21"/>
        </w:rPr>
        <w:t xml:space="preserve"> and then the DRAT. The </w:t>
      </w:r>
      <w:r>
        <w:rPr>
          <w:rFonts w:ascii="Calibri" w:hAnsi="Calibri"/>
          <w:b/>
          <w:i w:val="0"/>
          <w:color w:val="1B2A32"/>
          <w:sz w:val="21"/>
        </w:rPr>
        <w:t>RDDBFI Act, 1993</w:t>
      </w:r>
      <w:r>
        <w:rPr>
          <w:rFonts w:ascii="Calibri" w:hAnsi="Calibri"/>
          <w:b w:val="0"/>
          <w:i w:val="0"/>
          <w:color w:val="1B2A32"/>
          <w:sz w:val="21"/>
        </w:rPr>
        <w:t xml:space="preserve"> establishes the DRT for recovery of debts due to banks and financial institutions above the statutory threshold. Because these are </w:t>
      </w:r>
      <w:r>
        <w:rPr>
          <w:rFonts w:ascii="Calibri" w:hAnsi="Calibri"/>
          <w:b/>
          <w:i w:val="0"/>
          <w:color w:val="1B2A32"/>
          <w:sz w:val="21"/>
        </w:rPr>
        <w:t>special forums</w:t>
      </w:r>
      <w:r>
        <w:rPr>
          <w:rFonts w:ascii="Calibri" w:hAnsi="Calibri"/>
          <w:b w:val="0"/>
          <w:i w:val="0"/>
          <w:color w:val="1B2A32"/>
          <w:sz w:val="21"/>
        </w:rPr>
        <w:t xml:space="preserve"> protecting a public/statutory scheme, disputes within their domain are </w:t>
      </w:r>
      <w:r>
        <w:rPr>
          <w:rFonts w:ascii="Calibri" w:hAnsi="Calibri"/>
          <w:b/>
          <w:i w:val="0"/>
          <w:color w:val="1B2A32"/>
          <w:sz w:val="21"/>
        </w:rPr>
        <w:t>non-arbitrable</w:t>
      </w:r>
      <w:r>
        <w:rPr>
          <w:rFonts w:ascii="Calibri" w:hAnsi="Calibri"/>
          <w:b w:val="0"/>
          <w:i w:val="0"/>
          <w:color w:val="1B2A32"/>
          <w:sz w:val="21"/>
        </w:rPr>
        <w:t xml:space="preserve"> (Vidya Drolia; and specifically for SARFAESI, the special-forum bar). Equator therefore </w:t>
      </w:r>
      <w:r>
        <w:rPr>
          <w:rFonts w:ascii="Calibri" w:hAnsi="Calibri"/>
          <w:b/>
          <w:i w:val="0"/>
          <w:color w:val="1B2A32"/>
          <w:sz w:val="21"/>
        </w:rPr>
        <w:t>screens these out</w:t>
      </w:r>
      <w:r>
        <w:rPr>
          <w:rFonts w:ascii="Calibri" w:hAnsi="Calibri"/>
          <w:b w:val="0"/>
          <w:i w:val="0"/>
          <w:color w:val="1B2A32"/>
          <w:sz w:val="21"/>
        </w:rPr>
        <w:t xml:space="preserve"> and guides parties to the DRT — while taking the large, under-served field of </w:t>
      </w:r>
      <w:r>
        <w:rPr>
          <w:rFonts w:ascii="Calibri" w:hAnsi="Calibri"/>
          <w:b/>
          <w:i w:val="0"/>
          <w:color w:val="1B2A32"/>
          <w:sz w:val="21"/>
        </w:rPr>
        <w:t>NBFC, fintech, personal, vehicle, gold, MSME and unsecured loan disputes</w:t>
      </w:r>
      <w:r>
        <w:rPr>
          <w:rFonts w:ascii="Calibri" w:hAnsi="Calibri"/>
          <w:b w:val="0"/>
          <w:i w:val="0"/>
          <w:color w:val="1B2A32"/>
          <w:sz w:val="21"/>
        </w:rPr>
        <w:t xml:space="preserve">, and co-lending/partnership disputes, which are arbitrable and eminently mediatable, and the </w:t>
      </w:r>
      <w:r>
        <w:rPr>
          <w:rFonts w:ascii="Calibri" w:hAnsi="Calibri"/>
          <w:b/>
          <w:i w:val="0"/>
          <w:color w:val="1B2A32"/>
          <w:sz w:val="21"/>
        </w:rPr>
        <w:t>settlements</w:t>
      </w:r>
      <w:r>
        <w:rPr>
          <w:rFonts w:ascii="Calibri" w:hAnsi="Calibri"/>
          <w:b w:val="0"/>
          <w:i w:val="0"/>
          <w:color w:val="1B2A32"/>
          <w:sz w:val="21"/>
        </w:rPr>
        <w:t xml:space="preserve"> that even a DRT matter ultimately needs.</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SARFAESI Act, 2002 (s.13 enforcement; s.17 DRT appeal); RDDBFI Act, 1993 (DRT/DRAT). Non-arbitrability of the special-forum recovery domain: </w:t>
            </w:r>
            <w:r>
              <w:rPr>
                <w:rFonts w:ascii="Calibri" w:hAnsi="Calibri"/>
                <w:b/>
                <w:i w:val="0"/>
                <w:color w:val="1B2A32"/>
                <w:sz w:val="20"/>
              </w:rPr>
              <w:t>Vidya Drolia v. Durga Trading, (2021) 2 SCC 1</w:t>
            </w:r>
            <w:r>
              <w:rPr>
                <w:rFonts w:ascii="Calibri" w:hAnsi="Calibri"/>
                <w:b w:val="0"/>
                <w:i w:val="0"/>
                <w:color w:val="1B2A32"/>
                <w:sz w:val="20"/>
              </w:rPr>
              <w:t>; SARFAESI/DRT bar recognised in the case law. Ordinary loan/contractual disputes remain arbitrable.</w:t>
            </w:r>
          </w:p>
        </w:tc>
      </w:tr>
    </w:tbl>
    <w:p>
      <w:pPr>
        <w:spacing w:after="120"/>
      </w:pPr>
    </w:p>
    <w:p>
      <w:pPr>
        <w:keepNext/>
        <w:spacing w:before="320" w:after="140"/>
        <w:pBdr>
          <w:bottom w:val="single" w:sz="12" w:space="3" w:color="C6A15B"/>
        </w:pBdr>
      </w:pPr>
      <w:r>
        <w:rPr>
          <w:rFonts w:ascii="Calibri" w:hAnsi="Calibri"/>
          <w:b/>
          <w:i w:val="0"/>
          <w:color w:val="123B4F"/>
          <w:sz w:val="34"/>
        </w:rPr>
        <w:t>10.  Mediation, Conciliation &amp; One-Time Settlement</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Most loan disputes are really about </w:t>
            </w:r>
            <w:r>
              <w:rPr>
                <w:rFonts w:ascii="Calibri" w:hAnsi="Calibri"/>
                <w:b/>
                <w:i w:val="0"/>
                <w:color w:val="1B2A32"/>
                <w:sz w:val="20"/>
              </w:rPr>
              <w:t>how much, by when</w:t>
            </w:r>
            <w:r>
              <w:rPr>
                <w:rFonts w:ascii="Calibri" w:hAnsi="Calibri"/>
                <w:b w:val="0"/>
                <w:i w:val="0"/>
                <w:color w:val="1B2A32"/>
                <w:sz w:val="20"/>
              </w:rPr>
              <w:t xml:space="preserve"> — perfect for mediation and a </w:t>
            </w:r>
            <w:r>
              <w:rPr>
                <w:rFonts w:ascii="Calibri" w:hAnsi="Calibri"/>
                <w:b/>
                <w:i w:val="0"/>
                <w:color w:val="1B2A32"/>
                <w:sz w:val="20"/>
              </w:rPr>
              <w:t>one-time settlement (OTS)</w:t>
            </w:r>
            <w:r>
              <w:rPr>
                <w:rFonts w:ascii="Calibri" w:hAnsi="Calibri"/>
                <w:b w:val="0"/>
                <w:i w:val="0"/>
                <w:color w:val="1B2A32"/>
                <w:sz w:val="20"/>
              </w:rPr>
              <w:t>: a negotiated figure (often with a waiver of part of the interest/penalty), paid in one shot or on a schedule, in exchange for closing the account and a No-Dues/NOC. The RBI's 2023 framework legitimises such compromise settlements.</w:t>
            </w:r>
          </w:p>
        </w:tc>
      </w:tr>
    </w:tbl>
    <w:p>
      <w:pPr>
        <w:spacing w:after="120"/>
      </w:pPr>
    </w:p>
    <w:p>
      <w:pPr>
        <w:spacing w:after="140"/>
        <w:jc w:val="both"/>
      </w:pPr>
      <w:r>
        <w:rPr>
          <w:rFonts w:ascii="Calibri" w:hAnsi="Calibri"/>
          <w:b w:val="0"/>
          <w:i w:val="0"/>
          <w:color w:val="1B2A32"/>
          <w:sz w:val="21"/>
        </w:rPr>
        <w:t xml:space="preserve">Equator's core offering is </w:t>
      </w:r>
      <w:r>
        <w:rPr>
          <w:rFonts w:ascii="Calibri" w:hAnsi="Calibri"/>
          <w:b/>
          <w:i w:val="0"/>
          <w:color w:val="1B2A32"/>
          <w:sz w:val="21"/>
        </w:rPr>
        <w:t>conciliation/mediation leading to a settlement</w:t>
      </w:r>
      <w:r>
        <w:rPr>
          <w:rFonts w:ascii="Calibri" w:hAnsi="Calibri"/>
          <w:b w:val="0"/>
          <w:i w:val="0"/>
          <w:color w:val="1B2A32"/>
          <w:sz w:val="21"/>
        </w:rPr>
        <w:t xml:space="preserve">. For a defaulted or disputed loan, the mediator helps the parties agree an </w:t>
      </w:r>
      <w:r>
        <w:rPr>
          <w:rFonts w:ascii="Calibri" w:hAnsi="Calibri"/>
          <w:b/>
          <w:i w:val="0"/>
          <w:color w:val="1B2A32"/>
          <w:sz w:val="21"/>
        </w:rPr>
        <w:t>OTS</w:t>
      </w:r>
      <w:r>
        <w:rPr>
          <w:rFonts w:ascii="Calibri" w:hAnsi="Calibri"/>
          <w:b w:val="0"/>
          <w:i w:val="0"/>
          <w:color w:val="1B2A32"/>
          <w:sz w:val="21"/>
        </w:rPr>
        <w:t xml:space="preserve"> — a settlement amount, any waiver of accrued interest or penal charges, and a payment schedule — recorded in a </w:t>
      </w:r>
      <w:r>
        <w:rPr>
          <w:rFonts w:ascii="Calibri" w:hAnsi="Calibri"/>
          <w:b/>
          <w:i w:val="0"/>
          <w:color w:val="1B2A32"/>
          <w:sz w:val="21"/>
        </w:rPr>
        <w:t>Mediated Settlement Agreement</w:t>
      </w:r>
      <w:r>
        <w:rPr>
          <w:rFonts w:ascii="Calibri" w:hAnsi="Calibri"/>
          <w:b w:val="0"/>
          <w:i w:val="0"/>
          <w:color w:val="1B2A32"/>
          <w:sz w:val="21"/>
        </w:rPr>
        <w:t xml:space="preserve"> that is enforceable as a decree under Section 27 of the Mediation Act. The RBI's </w:t>
      </w:r>
      <w:r>
        <w:rPr>
          <w:rFonts w:ascii="Calibri" w:hAnsi="Calibri"/>
          <w:b/>
          <w:i w:val="0"/>
          <w:color w:val="1B2A32"/>
          <w:sz w:val="21"/>
        </w:rPr>
        <w:t>compromise-settlement and technical-write-off framework (2023)</w:t>
      </w:r>
      <w:r>
        <w:rPr>
          <w:rFonts w:ascii="Calibri" w:hAnsi="Calibri"/>
          <w:b w:val="0"/>
          <w:i w:val="0"/>
          <w:color w:val="1B2A32"/>
          <w:sz w:val="21"/>
        </w:rPr>
        <w:t xml:space="preserve"> expressly permits regulated entities to enter board-approved compromise settlements, giving lenders the regulatory comfort to settle. Where a commercial loan suit of specified value is contemplated without an arbitration clause, the </w:t>
      </w:r>
      <w:r>
        <w:rPr>
          <w:rFonts w:ascii="Calibri" w:hAnsi="Calibri"/>
          <w:b/>
          <w:i w:val="0"/>
          <w:color w:val="1B2A32"/>
          <w:sz w:val="21"/>
        </w:rPr>
        <w:t>mandatory pre-institution mediation</w:t>
      </w:r>
      <w:r>
        <w:rPr>
          <w:rFonts w:ascii="Calibri" w:hAnsi="Calibri"/>
          <w:b w:val="0"/>
          <w:i w:val="0"/>
          <w:color w:val="1B2A32"/>
          <w:sz w:val="21"/>
        </w:rPr>
        <w:t xml:space="preserve"> under Section 12A of the Commercial Courts Act may also apply. The settlement money is routed through </w:t>
      </w:r>
      <w:r>
        <w:rPr>
          <w:rFonts w:ascii="Calibri" w:hAnsi="Calibri"/>
          <w:b/>
          <w:i w:val="0"/>
          <w:color w:val="1B2A32"/>
          <w:sz w:val="21"/>
        </w:rPr>
        <w:t>escrow</w:t>
      </w:r>
      <w:r>
        <w:rPr>
          <w:rFonts w:ascii="Calibri" w:hAnsi="Calibri"/>
          <w:b w:val="0"/>
          <w:i w:val="0"/>
          <w:color w:val="1B2A32"/>
          <w:sz w:val="21"/>
        </w:rPr>
        <w:t xml:space="preserve"> and released against the </w:t>
      </w:r>
      <w:r>
        <w:rPr>
          <w:rFonts w:ascii="Calibri" w:hAnsi="Calibri"/>
          <w:b/>
          <w:i w:val="0"/>
          <w:color w:val="1B2A32"/>
          <w:sz w:val="21"/>
        </w:rPr>
        <w:t>No-Dues/NOC</w:t>
      </w:r>
      <w:r>
        <w:rPr>
          <w:rFonts w:ascii="Calibri" w:hAnsi="Calibri"/>
          <w:b w:val="0"/>
          <w:i w:val="0"/>
          <w:color w:val="1B2A32"/>
          <w:sz w:val="21"/>
        </w:rPr>
        <w:t>, and the borrower's credit-bureau record is updated on closure.</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Mediation Act, 2023 (s.19 MSA; s.20 registration; s.27 enforceable as a decree); RBI </w:t>
            </w:r>
            <w:r>
              <w:rPr>
                <w:rFonts w:ascii="Calibri" w:hAnsi="Calibri"/>
                <w:b/>
                <w:i w:val="0"/>
                <w:color w:val="1B2A32"/>
                <w:sz w:val="20"/>
              </w:rPr>
              <w:t>Framework for Compromise Settlements and Technical Write-offs, 2023</w:t>
            </w:r>
            <w:r>
              <w:rPr>
                <w:rFonts w:ascii="Calibri" w:hAnsi="Calibri"/>
                <w:b w:val="0"/>
                <w:i w:val="0"/>
                <w:color w:val="1B2A32"/>
                <w:sz w:val="20"/>
              </w:rPr>
              <w:t xml:space="preserve"> (board-approved compromise settlements permitted, including subject to conditions for wilful defaulters); Commercial Courts Act s.12A where applicable.</w:t>
            </w:r>
          </w:p>
        </w:tc>
      </w:tr>
    </w:tbl>
    <w:p>
      <w:pPr>
        <w:spacing w:after="120"/>
      </w:pPr>
    </w:p>
    <w:p>
      <w:pPr>
        <w:spacing w:before="80" w:after="40"/>
        <w:jc w:val="center"/>
      </w:pPr>
      <w:r>
        <w:drawing>
          <wp:inline xmlns:a="http://schemas.openxmlformats.org/drawingml/2006/main" xmlns:pic="http://schemas.openxmlformats.org/drawingml/2006/picture">
            <wp:extent cx="4114800" cy="5293272"/>
            <wp:docPr id="5" name="Picture 5"/>
            <wp:cNvGraphicFramePr>
              <a:graphicFrameLocks noChangeAspect="1"/>
            </wp:cNvGraphicFramePr>
            <a:graphic>
              <a:graphicData uri="http://schemas.openxmlformats.org/drawingml/2006/picture">
                <pic:pic>
                  <pic:nvPicPr>
                    <pic:cNvPr id="0" name="fl05_ots_escrow.png"/>
                    <pic:cNvPicPr/>
                  </pic:nvPicPr>
                  <pic:blipFill>
                    <a:blip r:embed="rId13"/>
                    <a:stretch>
                      <a:fillRect/>
                    </a:stretch>
                  </pic:blipFill>
                  <pic:spPr>
                    <a:xfrm>
                      <a:off x="0" y="0"/>
                      <a:ext cx="4114800" cy="5293272"/>
                    </a:xfrm>
                    <a:prstGeom prst="rect"/>
                  </pic:spPr>
                </pic:pic>
              </a:graphicData>
            </a:graphic>
          </wp:inline>
        </w:drawing>
      </w:r>
    </w:p>
    <w:p>
      <w:pPr>
        <w:spacing w:before="20" w:after="200"/>
        <w:jc w:val="center"/>
      </w:pPr>
      <w:r>
        <w:rPr>
          <w:rFonts w:ascii="Calibri" w:hAnsi="Calibri"/>
          <w:b w:val="0"/>
          <w:i/>
          <w:color w:val="556168"/>
          <w:sz w:val="17"/>
        </w:rPr>
        <w:t>Figure 5 — One-time settlement negotiated in mediation and secured through escrow.</w:t>
      </w:r>
    </w:p>
    <w:p>
      <w:pPr>
        <w:keepNext/>
        <w:spacing w:before="320" w:after="140"/>
        <w:pBdr>
          <w:bottom w:val="single" w:sz="12" w:space="3" w:color="C6A15B"/>
        </w:pBdr>
      </w:pPr>
      <w:r>
        <w:rPr>
          <w:rFonts w:ascii="Calibri" w:hAnsi="Calibri"/>
          <w:b/>
          <w:i w:val="0"/>
          <w:color w:val="123B4F"/>
          <w:sz w:val="34"/>
        </w:rPr>
        <w:t>11.  Consumer Protection &amp; Recovery-Agent Conduct</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Borrowers are often </w:t>
            </w:r>
            <w:r>
              <w:rPr>
                <w:rFonts w:ascii="Calibri" w:hAnsi="Calibri"/>
                <w:b/>
                <w:i w:val="0"/>
                <w:color w:val="1B2A32"/>
                <w:sz w:val="20"/>
              </w:rPr>
              <w:t>consumers</w:t>
            </w:r>
            <w:r>
              <w:rPr>
                <w:rFonts w:ascii="Calibri" w:hAnsi="Calibri"/>
                <w:b w:val="0"/>
                <w:i w:val="0"/>
                <w:color w:val="1B2A32"/>
                <w:sz w:val="20"/>
              </w:rPr>
              <w:t xml:space="preserve"> with rights, and lenders must follow the RBI's </w:t>
            </w:r>
            <w:r>
              <w:rPr>
                <w:rFonts w:ascii="Calibri" w:hAnsi="Calibri"/>
                <w:b/>
                <w:i w:val="0"/>
                <w:color w:val="1B2A32"/>
                <w:sz w:val="20"/>
              </w:rPr>
              <w:t>Fair Practices Code</w:t>
            </w:r>
            <w:r>
              <w:rPr>
                <w:rFonts w:ascii="Calibri" w:hAnsi="Calibri"/>
                <w:b w:val="0"/>
                <w:i w:val="0"/>
                <w:color w:val="1B2A32"/>
                <w:sz w:val="20"/>
              </w:rPr>
              <w:t xml:space="preserve"> — including limits on how recovery agents may behave. Harassment is not allowed. Equator handles harassment complaints and consumer-style grievances, and channels them to settlement or the right forum.</w:t>
            </w:r>
          </w:p>
        </w:tc>
      </w:tr>
    </w:tbl>
    <w:p>
      <w:pPr>
        <w:spacing w:after="120"/>
      </w:pPr>
    </w:p>
    <w:p>
      <w:pPr>
        <w:spacing w:after="140"/>
        <w:jc w:val="both"/>
      </w:pPr>
      <w:r>
        <w:rPr>
          <w:rFonts w:ascii="Calibri" w:hAnsi="Calibri"/>
          <w:b w:val="0"/>
          <w:i w:val="0"/>
          <w:color w:val="1B2A32"/>
          <w:sz w:val="21"/>
        </w:rPr>
        <w:t xml:space="preserve">A borrower who is a </w:t>
      </w:r>
      <w:r>
        <w:rPr>
          <w:rFonts w:ascii="Calibri" w:hAnsi="Calibri"/>
          <w:b/>
          <w:i w:val="0"/>
          <w:color w:val="1B2A32"/>
          <w:sz w:val="21"/>
        </w:rPr>
        <w:t>consumer</w:t>
      </w:r>
      <w:r>
        <w:rPr>
          <w:rFonts w:ascii="Calibri" w:hAnsi="Calibri"/>
          <w:b w:val="0"/>
          <w:i w:val="0"/>
          <w:color w:val="1B2A32"/>
          <w:sz w:val="21"/>
        </w:rPr>
        <w:t xml:space="preserve"> may complain of deficiency in service or unfair trade practice to the </w:t>
      </w:r>
      <w:r>
        <w:rPr>
          <w:rFonts w:ascii="Calibri" w:hAnsi="Calibri"/>
          <w:b/>
          <w:i w:val="0"/>
          <w:color w:val="1B2A32"/>
          <w:sz w:val="21"/>
        </w:rPr>
        <w:t>consumer commissions</w:t>
      </w:r>
      <w:r>
        <w:rPr>
          <w:rFonts w:ascii="Calibri" w:hAnsi="Calibri"/>
          <w:b w:val="0"/>
          <w:i w:val="0"/>
          <w:color w:val="1B2A32"/>
          <w:sz w:val="21"/>
        </w:rPr>
        <w:t xml:space="preserve"> under the Consumer Protection Act, 2019, which itself provides for </w:t>
      </w:r>
      <w:r>
        <w:rPr>
          <w:rFonts w:ascii="Calibri" w:hAnsi="Calibri"/>
          <w:b/>
          <w:i w:val="0"/>
          <w:color w:val="1B2A32"/>
          <w:sz w:val="21"/>
        </w:rPr>
        <w:t>mediation</w:t>
      </w:r>
      <w:r>
        <w:rPr>
          <w:rFonts w:ascii="Calibri" w:hAnsi="Calibri"/>
          <w:b w:val="0"/>
          <w:i w:val="0"/>
          <w:color w:val="1B2A32"/>
          <w:sz w:val="21"/>
        </w:rPr>
        <w:t xml:space="preserve">. Separately, the RBI </w:t>
      </w:r>
      <w:r>
        <w:rPr>
          <w:rFonts w:ascii="Calibri" w:hAnsi="Calibri"/>
          <w:b/>
          <w:i w:val="0"/>
          <w:color w:val="1B2A32"/>
          <w:sz w:val="21"/>
        </w:rPr>
        <w:t>Fair Practices Code</w:t>
      </w:r>
      <w:r>
        <w:rPr>
          <w:rFonts w:ascii="Calibri" w:hAnsi="Calibri"/>
          <w:b w:val="0"/>
          <w:i w:val="0"/>
          <w:color w:val="1B2A32"/>
          <w:sz w:val="21"/>
        </w:rPr>
        <w:t xml:space="preserve"> and its guidelines govern lender and </w:t>
      </w:r>
      <w:r>
        <w:rPr>
          <w:rFonts w:ascii="Calibri" w:hAnsi="Calibri"/>
          <w:b/>
          <w:i w:val="0"/>
          <w:color w:val="1B2A32"/>
          <w:sz w:val="21"/>
        </w:rPr>
        <w:t>recovery-agent conduct</w:t>
      </w:r>
      <w:r>
        <w:rPr>
          <w:rFonts w:ascii="Calibri" w:hAnsi="Calibri"/>
          <w:b w:val="0"/>
          <w:i w:val="0"/>
          <w:color w:val="1B2A32"/>
          <w:sz w:val="21"/>
        </w:rPr>
        <w:t xml:space="preserve">: agents may not use intimidation, harass, or contact borrowers at odd hours, and the courts have held lenders liable for coercive recovery. Equator treats a harassment complaint as both a </w:t>
      </w:r>
      <w:r>
        <w:rPr>
          <w:rFonts w:ascii="Calibri" w:hAnsi="Calibri"/>
          <w:b/>
          <w:i w:val="0"/>
          <w:color w:val="1B2A32"/>
          <w:sz w:val="21"/>
        </w:rPr>
        <w:t>grievance to be escalated</w:t>
      </w:r>
      <w:r>
        <w:rPr>
          <w:rFonts w:ascii="Calibri" w:hAnsi="Calibri"/>
          <w:b w:val="0"/>
          <w:i w:val="0"/>
          <w:color w:val="1B2A32"/>
          <w:sz w:val="21"/>
        </w:rPr>
        <w:t xml:space="preserve"> (to the lender's grievance officer and, if needed, the RBI Ombudsman or the police) and a </w:t>
      </w:r>
      <w:r>
        <w:rPr>
          <w:rFonts w:ascii="Calibri" w:hAnsi="Calibri"/>
          <w:b/>
          <w:i w:val="0"/>
          <w:color w:val="1B2A32"/>
          <w:sz w:val="21"/>
        </w:rPr>
        <w:t>dispute to be settled</w:t>
      </w:r>
      <w:r>
        <w:rPr>
          <w:rFonts w:ascii="Calibri" w:hAnsi="Calibri"/>
          <w:b w:val="0"/>
          <w:i w:val="0"/>
          <w:color w:val="1B2A32"/>
          <w:sz w:val="21"/>
        </w:rPr>
        <w:t xml:space="preserve"> (mediating the underlying debt while protecting the borrower). This dual handling — remedy plus resolution — is a distinctive Equator strength.</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Consumer Protection Act, 2019 (consumer complaints; mediation). RBI </w:t>
            </w:r>
            <w:r>
              <w:rPr>
                <w:rFonts w:ascii="Calibri" w:hAnsi="Calibri"/>
                <w:b/>
                <w:i w:val="0"/>
                <w:color w:val="1B2A32"/>
                <w:sz w:val="20"/>
              </w:rPr>
              <w:t>Fair Practices Code</w:t>
            </w:r>
            <w:r>
              <w:rPr>
                <w:rFonts w:ascii="Calibri" w:hAnsi="Calibri"/>
                <w:b w:val="0"/>
                <w:i w:val="0"/>
                <w:color w:val="1B2A32"/>
                <w:sz w:val="20"/>
              </w:rPr>
              <w:t xml:space="preserve"> for NBFCs and the outsourcing/recovery-agent guidelines (conduct norms; no harassment). Coercive recovery may attract civil and criminal liability.</w:t>
            </w:r>
          </w:p>
        </w:tc>
      </w:tr>
    </w:tbl>
    <w:p>
      <w:pPr>
        <w:spacing w:after="120"/>
      </w:pPr>
    </w:p>
    <w:p>
      <w:pPr>
        <w:keepNext/>
        <w:spacing w:before="320" w:after="140"/>
        <w:pBdr>
          <w:bottom w:val="single" w:sz="12" w:space="3" w:color="C6A15B"/>
        </w:pBdr>
      </w:pPr>
      <w:r>
        <w:rPr>
          <w:rFonts w:ascii="Calibri" w:hAnsi="Calibri"/>
          <w:b/>
          <w:i w:val="0"/>
          <w:color w:val="123B4F"/>
          <w:sz w:val="34"/>
        </w:rPr>
        <w:t>12.  Lok Adalat &amp; Enforcement</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The </w:t>
            </w:r>
            <w:r>
              <w:rPr>
                <w:rFonts w:ascii="Calibri" w:hAnsi="Calibri"/>
                <w:b/>
                <w:i w:val="0"/>
                <w:color w:val="1B2A32"/>
                <w:sz w:val="20"/>
              </w:rPr>
              <w:t>Lok Adalat</w:t>
            </w:r>
            <w:r>
              <w:rPr>
                <w:rFonts w:ascii="Calibri" w:hAnsi="Calibri"/>
                <w:b w:val="0"/>
                <w:i w:val="0"/>
                <w:color w:val="1B2A32"/>
                <w:sz w:val="20"/>
              </w:rPr>
              <w:t xml:space="preserve"> is the fastest way to close a money matter by settlement — its award is a </w:t>
            </w:r>
            <w:r>
              <w:rPr>
                <w:rFonts w:ascii="Calibri" w:hAnsi="Calibri"/>
                <w:b/>
                <w:i w:val="0"/>
                <w:color w:val="1B2A32"/>
                <w:sz w:val="20"/>
              </w:rPr>
              <w:t>civil-court decree</w:t>
            </w:r>
            <w:r>
              <w:rPr>
                <w:rFonts w:ascii="Calibri" w:hAnsi="Calibri"/>
                <w:b w:val="0"/>
                <w:i w:val="0"/>
                <w:color w:val="1B2A32"/>
                <w:sz w:val="20"/>
              </w:rPr>
              <w:t>, final, with no appeal. Equator's settlements can be taken to a Lok Adalat, or registered as a Mediated Settlement Agreement, or (in arbitration) recorded as a consent award — all enforceable.</w:t>
            </w:r>
          </w:p>
        </w:tc>
      </w:tr>
    </w:tbl>
    <w:p>
      <w:pPr>
        <w:spacing w:after="120"/>
      </w:pPr>
    </w:p>
    <w:p>
      <w:pPr>
        <w:spacing w:after="140"/>
        <w:jc w:val="both"/>
      </w:pPr>
      <w:r>
        <w:rPr>
          <w:rFonts w:ascii="Calibri" w:hAnsi="Calibri"/>
          <w:b w:val="0"/>
          <w:i w:val="0"/>
          <w:color w:val="1B2A32"/>
          <w:sz w:val="21"/>
        </w:rPr>
        <w:t xml:space="preserve">Equator's outcomes are enforceable through several complementary routes. A </w:t>
      </w:r>
      <w:r>
        <w:rPr>
          <w:rFonts w:ascii="Calibri" w:hAnsi="Calibri"/>
          <w:b/>
          <w:i w:val="0"/>
          <w:color w:val="1B2A32"/>
          <w:sz w:val="21"/>
        </w:rPr>
        <w:t>Mediated Settlement Agreement</w:t>
      </w:r>
      <w:r>
        <w:rPr>
          <w:rFonts w:ascii="Calibri" w:hAnsi="Calibri"/>
          <w:b w:val="0"/>
          <w:i w:val="0"/>
          <w:color w:val="1B2A32"/>
          <w:sz w:val="21"/>
        </w:rPr>
        <w:t xml:space="preserve"> is enforceable </w:t>
      </w:r>
      <w:r>
        <w:rPr>
          <w:rFonts w:ascii="Calibri" w:hAnsi="Calibri"/>
          <w:b/>
          <w:i w:val="0"/>
          <w:color w:val="1B2A32"/>
          <w:sz w:val="21"/>
        </w:rPr>
        <w:t>as a decree</w:t>
      </w:r>
      <w:r>
        <w:rPr>
          <w:rFonts w:ascii="Calibri" w:hAnsi="Calibri"/>
          <w:b w:val="0"/>
          <w:i w:val="0"/>
          <w:color w:val="1B2A32"/>
          <w:sz w:val="21"/>
        </w:rPr>
        <w:t xml:space="preserve"> (Section 27, Mediation Act). A </w:t>
      </w:r>
      <w:r>
        <w:rPr>
          <w:rFonts w:ascii="Calibri" w:hAnsi="Calibri"/>
          <w:b/>
          <w:i w:val="0"/>
          <w:color w:val="1B2A32"/>
          <w:sz w:val="21"/>
        </w:rPr>
        <w:t>Lok Adalat award</w:t>
      </w:r>
      <w:r>
        <w:rPr>
          <w:rFonts w:ascii="Calibri" w:hAnsi="Calibri"/>
          <w:b w:val="0"/>
          <w:i w:val="0"/>
          <w:color w:val="1B2A32"/>
          <w:sz w:val="21"/>
        </w:rPr>
        <w:t xml:space="preserve"> — under the Legal Services Authorities Act, 1987 — is deemed a </w:t>
      </w:r>
      <w:r>
        <w:rPr>
          <w:rFonts w:ascii="Calibri" w:hAnsi="Calibri"/>
          <w:b/>
          <w:i w:val="0"/>
          <w:color w:val="1B2A32"/>
          <w:sz w:val="21"/>
        </w:rPr>
        <w:t>decree of a civil court</w:t>
      </w:r>
      <w:r>
        <w:rPr>
          <w:rFonts w:ascii="Calibri" w:hAnsi="Calibri"/>
          <w:b w:val="0"/>
          <w:i w:val="0"/>
          <w:color w:val="1B2A32"/>
          <w:sz w:val="21"/>
        </w:rPr>
        <w:t xml:space="preserve">, is final and binding, and is executable under the CPC, making it ideal for closing cheque-bounce and recovery settlements at scale. Where the matter was arbitrated, a </w:t>
      </w:r>
      <w:r>
        <w:rPr>
          <w:rFonts w:ascii="Calibri" w:hAnsi="Calibri"/>
          <w:b/>
          <w:i w:val="0"/>
          <w:color w:val="1B2A32"/>
          <w:sz w:val="21"/>
        </w:rPr>
        <w:t>consent award or award</w:t>
      </w:r>
      <w:r>
        <w:rPr>
          <w:rFonts w:ascii="Calibri" w:hAnsi="Calibri"/>
          <w:b w:val="0"/>
          <w:i w:val="0"/>
          <w:color w:val="1B2A32"/>
          <w:sz w:val="21"/>
        </w:rPr>
        <w:t xml:space="preserve"> is enforceable as a decree (Section 36 of the Arbitration Act). And a lender's DRT proceeding ends in a </w:t>
      </w:r>
      <w:r>
        <w:rPr>
          <w:rFonts w:ascii="Calibri" w:hAnsi="Calibri"/>
          <w:b/>
          <w:i w:val="0"/>
          <w:color w:val="1B2A32"/>
          <w:sz w:val="21"/>
        </w:rPr>
        <w:t>recovery certificate</w:t>
      </w:r>
      <w:r>
        <w:rPr>
          <w:rFonts w:ascii="Calibri" w:hAnsi="Calibri"/>
          <w:b w:val="0"/>
          <w:i w:val="0"/>
          <w:color w:val="1B2A32"/>
          <w:sz w:val="21"/>
        </w:rPr>
        <w:t xml:space="preserve"> executed by the Recovery Officer. Equator's escrow releases the settlement funds against the closure and the No-Dues/NOC.</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Legal Services Authorities Act, 1987 (s.19–22 Lok Adalat; s.21 award deemed a civil-court decree, final, no appeal). Mediation Act s.27; Arbitration Act s.36; RDDBFI recovery certificate.</w:t>
            </w:r>
          </w:p>
        </w:tc>
      </w:tr>
    </w:tbl>
    <w:p>
      <w:pPr>
        <w:spacing w:after="120"/>
      </w:pPr>
    </w:p>
    <w:p>
      <w:pPr>
        <w:spacing w:before="80" w:after="40"/>
        <w:jc w:val="center"/>
      </w:pPr>
      <w:r>
        <w:drawing>
          <wp:inline xmlns:a="http://schemas.openxmlformats.org/drawingml/2006/main" xmlns:pic="http://schemas.openxmlformats.org/drawingml/2006/picture">
            <wp:extent cx="5852160" cy="3196223"/>
            <wp:docPr id="6" name="Picture 6"/>
            <wp:cNvGraphicFramePr>
              <a:graphicFrameLocks noChangeAspect="1"/>
            </wp:cNvGraphicFramePr>
            <a:graphic>
              <a:graphicData uri="http://schemas.openxmlformats.org/drawingml/2006/picture">
                <pic:pic>
                  <pic:nvPicPr>
                    <pic:cNvPr id="0" name="fl07_enforcement.png"/>
                    <pic:cNvPicPr/>
                  </pic:nvPicPr>
                  <pic:blipFill>
                    <a:blip r:embed="rId14"/>
                    <a:stretch>
                      <a:fillRect/>
                    </a:stretch>
                  </pic:blipFill>
                  <pic:spPr>
                    <a:xfrm>
                      <a:off x="0" y="0"/>
                      <a:ext cx="5852160" cy="3196223"/>
                    </a:xfrm>
                    <a:prstGeom prst="rect"/>
                  </pic:spPr>
                </pic:pic>
              </a:graphicData>
            </a:graphic>
          </wp:inline>
        </w:drawing>
      </w:r>
    </w:p>
    <w:p>
      <w:pPr>
        <w:spacing w:before="20" w:after="200"/>
        <w:jc w:val="center"/>
      </w:pPr>
      <w:r>
        <w:rPr>
          <w:rFonts w:ascii="Calibri" w:hAnsi="Calibri"/>
          <w:b w:val="0"/>
          <w:i/>
          <w:color w:val="556168"/>
          <w:sz w:val="17"/>
        </w:rPr>
        <w:t>Figure 6 — Enforcement routes: MSA, Lok Adalat award, arbitral award, and DRT recovery certificate.</w:t>
      </w:r>
    </w:p>
    <w:p>
      <w:r>
        <w:br w:type="page"/>
      </w:r>
    </w:p>
    <w:p>
      <w:pPr>
        <w:spacing w:before="600" w:after="40"/>
      </w:pPr>
      <w:r>
        <w:rPr>
          <w:rFonts w:ascii="Calibri" w:hAnsi="Calibri"/>
          <w:b/>
          <w:i w:val="0"/>
          <w:color w:val="C6A15B"/>
          <w:sz w:val="26"/>
        </w:rPr>
        <w:t>PART C</w:t>
      </w:r>
    </w:p>
    <w:p>
      <w:pPr>
        <w:spacing w:after="200"/>
        <w:pBdr>
          <w:bottom w:val="single" w:sz="18" w:space="3" w:color="1E7A8C"/>
        </w:pBdr>
      </w:pPr>
      <w:r>
        <w:rPr>
          <w:rFonts w:ascii="Calibri" w:hAnsi="Calibri"/>
          <w:b/>
          <w:i w:val="0"/>
          <w:color w:val="123B4F"/>
          <w:sz w:val="46"/>
        </w:rPr>
        <w:t>The Platform &amp; Procedure</w:t>
      </w:r>
    </w:p>
    <w:p>
      <w:pPr>
        <w:keepNext/>
        <w:spacing w:before="320" w:after="140"/>
        <w:pBdr>
          <w:bottom w:val="single" w:sz="12" w:space="3" w:color="C6A15B"/>
        </w:pBdr>
      </w:pPr>
      <w:r>
        <w:rPr>
          <w:rFonts w:ascii="Calibri" w:hAnsi="Calibri"/>
          <w:b/>
          <w:i w:val="0"/>
          <w:color w:val="123B4F"/>
          <w:sz w:val="34"/>
        </w:rPr>
        <w:t>13.  Dispute Taxonomy &amp; Dropdown Architecture</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The menu the website shows a borrower or lender: </w:t>
            </w:r>
            <w:r>
              <w:rPr>
                <w:rFonts w:ascii="Calibri" w:hAnsi="Calibri"/>
                <w:b/>
                <w:i w:val="0"/>
                <w:color w:val="1B2A32"/>
                <w:sz w:val="20"/>
              </w:rPr>
              <w:t>dispute type → loan type → lender type → amount → relief</w:t>
            </w:r>
            <w:r>
              <w:rPr>
                <w:rFonts w:ascii="Calibri" w:hAnsi="Calibri"/>
                <w:b w:val="0"/>
                <w:i w:val="0"/>
                <w:color w:val="1B2A32"/>
                <w:sz w:val="20"/>
              </w:rPr>
              <w:t>, plus whether there's an arbitration clause. Selecting them attaches the right law, route, forms and neutral. The machine-readable version is in the Developer Workbook.</w:t>
            </w:r>
          </w:p>
        </w:tc>
      </w:tr>
    </w:tbl>
    <w:p>
      <w:pPr>
        <w:spacing w:after="120"/>
      </w:pPr>
    </w:p>
    <w:p>
      <w:pPr>
        <w:spacing w:after="140"/>
        <w:jc w:val="both"/>
      </w:pPr>
      <w:r>
        <w:rPr>
          <w:rFonts w:ascii="Calibri" w:hAnsi="Calibri"/>
          <w:b w:val="0"/>
          <w:i w:val="0"/>
          <w:color w:val="1B2A32"/>
          <w:sz w:val="21"/>
        </w:rPr>
        <w:t xml:space="preserve">Intake captures the </w:t>
      </w:r>
      <w:r>
        <w:rPr>
          <w:rFonts w:ascii="Calibri" w:hAnsi="Calibri"/>
          <w:b/>
          <w:i w:val="0"/>
          <w:color w:val="1B2A32"/>
          <w:sz w:val="21"/>
        </w:rPr>
        <w:t>dispute type</w:t>
      </w:r>
      <w:r>
        <w:rPr>
          <w:rFonts w:ascii="Calibri" w:hAnsi="Calibri"/>
          <w:b w:val="0"/>
          <w:i w:val="0"/>
          <w:color w:val="1B2A32"/>
          <w:sz w:val="21"/>
        </w:rPr>
        <w:t xml:space="preserve">, the </w:t>
      </w:r>
      <w:r>
        <w:rPr>
          <w:rFonts w:ascii="Calibri" w:hAnsi="Calibri"/>
          <w:b/>
          <w:i w:val="0"/>
          <w:color w:val="1B2A32"/>
          <w:sz w:val="21"/>
        </w:rPr>
        <w:t>loan/product type</w:t>
      </w:r>
      <w:r>
        <w:rPr>
          <w:rFonts w:ascii="Calibri" w:hAnsi="Calibri"/>
          <w:b w:val="0"/>
          <w:i w:val="0"/>
          <w:color w:val="1B2A32"/>
          <w:sz w:val="21"/>
        </w:rPr>
        <w:t xml:space="preserve">, the </w:t>
      </w:r>
      <w:r>
        <w:rPr>
          <w:rFonts w:ascii="Calibri" w:hAnsi="Calibri"/>
          <w:b/>
          <w:i w:val="0"/>
          <w:color w:val="1B2A32"/>
          <w:sz w:val="21"/>
        </w:rPr>
        <w:t>lender type</w:t>
      </w:r>
      <w:r>
        <w:rPr>
          <w:rFonts w:ascii="Calibri" w:hAnsi="Calibri"/>
          <w:b w:val="0"/>
          <w:i w:val="0"/>
          <w:color w:val="1B2A32"/>
          <w:sz w:val="21"/>
        </w:rPr>
        <w:t xml:space="preserve">, the </w:t>
      </w:r>
      <w:r>
        <w:rPr>
          <w:rFonts w:ascii="Calibri" w:hAnsi="Calibri"/>
          <w:b/>
          <w:i w:val="0"/>
          <w:color w:val="1B2A32"/>
          <w:sz w:val="21"/>
        </w:rPr>
        <w:t>amount</w:t>
      </w:r>
      <w:r>
        <w:rPr>
          <w:rFonts w:ascii="Calibri" w:hAnsi="Calibri"/>
          <w:b w:val="0"/>
          <w:i w:val="0"/>
          <w:color w:val="1B2A32"/>
          <w:sz w:val="21"/>
        </w:rPr>
        <w:t xml:space="preserve">, and the </w:t>
      </w:r>
      <w:r>
        <w:rPr>
          <w:rFonts w:ascii="Calibri" w:hAnsi="Calibri"/>
          <w:b/>
          <w:i w:val="0"/>
          <w:color w:val="1B2A32"/>
          <w:sz w:val="21"/>
        </w:rPr>
        <w:t>relief sought</w:t>
      </w:r>
      <w:r>
        <w:rPr>
          <w:rFonts w:ascii="Calibri" w:hAnsi="Calibri"/>
          <w:b w:val="0"/>
          <w:i w:val="0"/>
          <w:color w:val="1B2A32"/>
          <w:sz w:val="21"/>
        </w:rPr>
        <w:t>, and runs the mechanism triage. This drives the applicable-law checklist, the forms, and (where relevant) guided referral to the RBI Ombudsman or the DRT.</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6"/>
              </w:rPr>
              <w:t>Dispute type</w:t>
            </w:r>
          </w:p>
        </w:tc>
        <w:tc>
          <w:tcPr>
            <w:tcW w:type="dxa" w:w="4562"/>
            <w:shd w:val="clear" w:color="auto" w:fill="123B4F"/>
            <w:tcMar>
              <w:top w:w="60" w:type="dxa"/>
              <w:bottom w:w="60" w:type="dxa"/>
              <w:start w:w="110" w:type="dxa"/>
              <w:end w:w="110" w:type="dxa"/>
            </w:tcMar>
          </w:tcPr>
          <w:p>
            <w:pPr>
              <w:spacing w:after="0"/>
            </w:pPr>
            <w:r>
              <w:rPr>
                <w:rFonts w:ascii="Calibri" w:hAnsi="Calibri"/>
                <w:b/>
                <w:i w:val="0"/>
                <w:color w:val="FFFFFF"/>
                <w:sz w:val="16"/>
              </w:rPr>
              <w:t>Representative issues</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6"/>
              </w:rPr>
              <w:t>Usual route</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6"/>
              </w:rPr>
              <w:t>Loan default &amp; recovery</w:t>
            </w:r>
          </w:p>
        </w:tc>
        <w:tc>
          <w:tcPr>
            <w:tcW w:type="dxa" w:w="4562"/>
            <w:tcMar>
              <w:top w:w="60" w:type="dxa"/>
              <w:bottom w:w="60" w:type="dxa"/>
              <w:start w:w="110" w:type="dxa"/>
              <w:end w:w="110" w:type="dxa"/>
            </w:tcMar>
          </w:tcPr>
          <w:p>
            <w:pPr>
              <w:spacing w:after="0"/>
              <w:jc w:val="left"/>
            </w:pPr>
            <w:r>
              <w:rPr>
                <w:rFonts w:ascii="Calibri" w:hAnsi="Calibri"/>
                <w:b w:val="0"/>
                <w:i w:val="0"/>
                <w:color w:val="1B2A32"/>
                <w:sz w:val="16"/>
              </w:rPr>
              <w:t>Non-payment, acceleration, penal charges</w:t>
            </w:r>
          </w:p>
        </w:tc>
        <w:tc>
          <w:tcPr>
            <w:tcW w:type="dxa" w:w="2661"/>
            <w:tcMar>
              <w:top w:w="60" w:type="dxa"/>
              <w:bottom w:w="60" w:type="dxa"/>
              <w:start w:w="110" w:type="dxa"/>
              <w:end w:w="110" w:type="dxa"/>
            </w:tcMar>
          </w:tcPr>
          <w:p>
            <w:pPr>
              <w:spacing w:after="0"/>
              <w:jc w:val="left"/>
            </w:pPr>
            <w:r>
              <w:rPr>
                <w:rFonts w:ascii="Calibri" w:hAnsi="Calibri"/>
                <w:b w:val="0"/>
                <w:i w:val="0"/>
                <w:color w:val="1B2A32"/>
                <w:sz w:val="16"/>
              </w:rPr>
              <w:t>Mediation &amp; OTS / arbitration (if clause)</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One-time settlement (OTS)</w:t>
            </w:r>
          </w:p>
        </w:tc>
        <w:tc>
          <w:tcPr>
            <w:tcW w:type="dxa" w:w="456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Compromise amount, waiver, schedule</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Mediation / conciliation</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6"/>
              </w:rPr>
              <w:t>Cheque bounce (NI-138)</w:t>
            </w:r>
          </w:p>
        </w:tc>
        <w:tc>
          <w:tcPr>
            <w:tcW w:type="dxa" w:w="4562"/>
            <w:tcMar>
              <w:top w:w="60" w:type="dxa"/>
              <w:bottom w:w="60" w:type="dxa"/>
              <w:start w:w="110" w:type="dxa"/>
              <w:end w:w="110" w:type="dxa"/>
            </w:tcMar>
          </w:tcPr>
          <w:p>
            <w:pPr>
              <w:spacing w:after="0"/>
              <w:jc w:val="left"/>
            </w:pPr>
            <w:r>
              <w:rPr>
                <w:rFonts w:ascii="Calibri" w:hAnsi="Calibri"/>
                <w:b w:val="0"/>
                <w:i w:val="0"/>
                <w:color w:val="1B2A32"/>
                <w:sz w:val="16"/>
              </w:rPr>
              <w:t>Dishonoured cheque; demand notice</w:t>
            </w:r>
          </w:p>
        </w:tc>
        <w:tc>
          <w:tcPr>
            <w:tcW w:type="dxa" w:w="2661"/>
            <w:tcMar>
              <w:top w:w="60" w:type="dxa"/>
              <w:bottom w:w="60" w:type="dxa"/>
              <w:start w:w="110" w:type="dxa"/>
              <w:end w:w="110" w:type="dxa"/>
            </w:tcMar>
          </w:tcPr>
          <w:p>
            <w:pPr>
              <w:spacing w:after="0"/>
              <w:jc w:val="left"/>
            </w:pPr>
            <w:r>
              <w:rPr>
                <w:rFonts w:ascii="Calibri" w:hAnsi="Calibri"/>
                <w:b w:val="0"/>
                <w:i w:val="0"/>
                <w:color w:val="1B2A32"/>
                <w:sz w:val="16"/>
              </w:rPr>
              <w:t>Mediation → compounding / Lok Adalat</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Wrong / excess charges</w:t>
            </w:r>
          </w:p>
        </w:tc>
        <w:tc>
          <w:tcPr>
            <w:tcW w:type="dxa" w:w="456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Hidden fees, penal interest, mis-charging</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RBI grievance / Ombudsman + mediation</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6"/>
              </w:rPr>
              <w:t>Digital-lending grievance</w:t>
            </w:r>
          </w:p>
        </w:tc>
        <w:tc>
          <w:tcPr>
            <w:tcW w:type="dxa" w:w="4562"/>
            <w:tcMar>
              <w:top w:w="60" w:type="dxa"/>
              <w:bottom w:w="60" w:type="dxa"/>
              <w:start w:w="110" w:type="dxa"/>
              <w:end w:w="110" w:type="dxa"/>
            </w:tcMar>
          </w:tcPr>
          <w:p>
            <w:pPr>
              <w:spacing w:after="0"/>
              <w:jc w:val="left"/>
            </w:pPr>
            <w:r>
              <w:rPr>
                <w:rFonts w:ascii="Calibri" w:hAnsi="Calibri"/>
                <w:b w:val="0"/>
                <w:i w:val="0"/>
                <w:color w:val="1B2A32"/>
                <w:sz w:val="16"/>
              </w:rPr>
              <w:t>App loans, BNPL, KFS, data/recovery</w:t>
            </w:r>
          </w:p>
        </w:tc>
        <w:tc>
          <w:tcPr>
            <w:tcW w:type="dxa" w:w="2661"/>
            <w:tcMar>
              <w:top w:w="60" w:type="dxa"/>
              <w:bottom w:w="60" w:type="dxa"/>
              <w:start w:w="110" w:type="dxa"/>
              <w:end w:w="110" w:type="dxa"/>
            </w:tcMar>
          </w:tcPr>
          <w:p>
            <w:pPr>
              <w:spacing w:after="0"/>
              <w:jc w:val="left"/>
            </w:pPr>
            <w:r>
              <w:rPr>
                <w:rFonts w:ascii="Calibri" w:hAnsi="Calibri"/>
                <w:b w:val="0"/>
                <w:i w:val="0"/>
                <w:color w:val="1B2A32"/>
                <w:sz w:val="16"/>
              </w:rPr>
              <w:t>Nodal officer / Ombudsman + mediation</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Recovery-agent harassment</w:t>
            </w:r>
          </w:p>
        </w:tc>
        <w:tc>
          <w:tcPr>
            <w:tcW w:type="dxa" w:w="456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Coercion, odd-hour contact, intimidation</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Grievance/complaint + mediation of debt</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6"/>
              </w:rPr>
              <w:t>Mis-selling / unfair practice</w:t>
            </w:r>
          </w:p>
        </w:tc>
        <w:tc>
          <w:tcPr>
            <w:tcW w:type="dxa" w:w="4562"/>
            <w:tcMar>
              <w:top w:w="60" w:type="dxa"/>
              <w:bottom w:w="60" w:type="dxa"/>
              <w:start w:w="110" w:type="dxa"/>
              <w:end w:w="110" w:type="dxa"/>
            </w:tcMar>
          </w:tcPr>
          <w:p>
            <w:pPr>
              <w:spacing w:after="0"/>
              <w:jc w:val="left"/>
            </w:pPr>
            <w:r>
              <w:rPr>
                <w:rFonts w:ascii="Calibri" w:hAnsi="Calibri"/>
                <w:b w:val="0"/>
                <w:i w:val="0"/>
                <w:color w:val="1B2A32"/>
                <w:sz w:val="16"/>
              </w:rPr>
              <w:t>Insurance bundling, undisclosed terms</w:t>
            </w:r>
          </w:p>
        </w:tc>
        <w:tc>
          <w:tcPr>
            <w:tcW w:type="dxa" w:w="2661"/>
            <w:tcMar>
              <w:top w:w="60" w:type="dxa"/>
              <w:bottom w:w="60" w:type="dxa"/>
              <w:start w:w="110" w:type="dxa"/>
              <w:end w:w="110" w:type="dxa"/>
            </w:tcMar>
          </w:tcPr>
          <w:p>
            <w:pPr>
              <w:spacing w:after="0"/>
              <w:jc w:val="left"/>
            </w:pPr>
            <w:r>
              <w:rPr>
                <w:rFonts w:ascii="Calibri" w:hAnsi="Calibri"/>
                <w:b w:val="0"/>
                <w:i w:val="0"/>
                <w:color w:val="1B2A32"/>
                <w:sz w:val="16"/>
              </w:rPr>
              <w:t>Consumer / Ombudsman + mediation</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Credit-bureau dispute</w:t>
            </w:r>
          </w:p>
        </w:tc>
        <w:tc>
          <w:tcPr>
            <w:tcW w:type="dxa" w:w="456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Wrong default reporting (CIBIL etc.)</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Grievance + mediated correction on settlement</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6"/>
              </w:rPr>
              <w:t>Guarantee / co-borrower</w:t>
            </w:r>
          </w:p>
        </w:tc>
        <w:tc>
          <w:tcPr>
            <w:tcW w:type="dxa" w:w="4562"/>
            <w:tcMar>
              <w:top w:w="60" w:type="dxa"/>
              <w:bottom w:w="60" w:type="dxa"/>
              <w:start w:w="110" w:type="dxa"/>
              <w:end w:w="110" w:type="dxa"/>
            </w:tcMar>
          </w:tcPr>
          <w:p>
            <w:pPr>
              <w:spacing w:after="0"/>
              <w:jc w:val="left"/>
            </w:pPr>
            <w:r>
              <w:rPr>
                <w:rFonts w:ascii="Calibri" w:hAnsi="Calibri"/>
                <w:b w:val="0"/>
                <w:i w:val="0"/>
                <w:color w:val="1B2A32"/>
                <w:sz w:val="16"/>
              </w:rPr>
              <w:t>Guarantor liability, contribution</w:t>
            </w:r>
          </w:p>
        </w:tc>
        <w:tc>
          <w:tcPr>
            <w:tcW w:type="dxa" w:w="2661"/>
            <w:tcMar>
              <w:top w:w="60" w:type="dxa"/>
              <w:bottom w:w="60" w:type="dxa"/>
              <w:start w:w="110" w:type="dxa"/>
              <w:end w:w="110" w:type="dxa"/>
            </w:tcMar>
          </w:tcPr>
          <w:p>
            <w:pPr>
              <w:spacing w:after="0"/>
              <w:jc w:val="left"/>
            </w:pPr>
            <w:r>
              <w:rPr>
                <w:rFonts w:ascii="Calibri" w:hAnsi="Calibri"/>
                <w:b w:val="0"/>
                <w:i w:val="0"/>
                <w:color w:val="1B2A32"/>
                <w:sz w:val="16"/>
              </w:rPr>
              <w:t>Mediation / arbitration</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Co-lending / fintech partnership</w:t>
            </w:r>
          </w:p>
        </w:tc>
        <w:tc>
          <w:tcPr>
            <w:tcW w:type="dxa" w:w="456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RE–LSP disputes, revenue share</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Arbitration / mediation</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6"/>
              </w:rPr>
              <w:t>Secured-debt recovery (bank/FI)</w:t>
            </w:r>
          </w:p>
        </w:tc>
        <w:tc>
          <w:tcPr>
            <w:tcW w:type="dxa" w:w="4562"/>
            <w:tcMar>
              <w:top w:w="60" w:type="dxa"/>
              <w:bottom w:w="60" w:type="dxa"/>
              <w:start w:w="110" w:type="dxa"/>
              <w:end w:w="110" w:type="dxa"/>
            </w:tcMar>
          </w:tcPr>
          <w:p>
            <w:pPr>
              <w:spacing w:after="0"/>
              <w:jc w:val="left"/>
            </w:pPr>
            <w:r>
              <w:rPr>
                <w:rFonts w:ascii="Calibri" w:hAnsi="Calibri"/>
                <w:b w:val="0"/>
                <w:i w:val="0"/>
                <w:color w:val="1B2A32"/>
                <w:sz w:val="16"/>
              </w:rPr>
              <w:t>Mortgage/hypothecation enforcement</w:t>
            </w:r>
          </w:p>
        </w:tc>
        <w:tc>
          <w:tcPr>
            <w:tcW w:type="dxa" w:w="2661"/>
            <w:tcMar>
              <w:top w:w="60" w:type="dxa"/>
              <w:bottom w:w="60" w:type="dxa"/>
              <w:start w:w="110" w:type="dxa"/>
              <w:end w:w="110" w:type="dxa"/>
            </w:tcMar>
          </w:tcPr>
          <w:p>
            <w:pPr>
              <w:spacing w:after="0"/>
              <w:jc w:val="left"/>
            </w:pPr>
            <w:r>
              <w:rPr>
                <w:rFonts w:ascii="Calibri" w:hAnsi="Calibri"/>
                <w:b w:val="0"/>
                <w:i w:val="0"/>
                <w:color w:val="1B2A32"/>
                <w:sz w:val="16"/>
              </w:rPr>
              <w:t>DRT / SARFAESI (referral; non-arbitrable)</w:t>
            </w:r>
          </w:p>
        </w:tc>
      </w:tr>
    </w:tbl>
    <w:p>
      <w:pPr>
        <w:spacing w:after="80"/>
      </w:pPr>
    </w:p>
    <w:p>
      <w:pPr>
        <w:spacing w:before="20" w:after="200"/>
        <w:jc w:val="center"/>
      </w:pPr>
      <w:r>
        <w:rPr>
          <w:rFonts w:ascii="Calibri" w:hAnsi="Calibri"/>
          <w:b w:val="0"/>
          <w:i/>
          <w:color w:val="556168"/>
          <w:sz w:val="17"/>
        </w:rPr>
        <w:t>Table 2 — Financial dispute-type → issues → route (full schema in the Developer Workbook).</w:t>
      </w:r>
    </w:p>
    <w:p>
      <w:pPr>
        <w:keepNext/>
        <w:spacing w:before="220" w:after="80"/>
      </w:pPr>
      <w:r>
        <w:rPr>
          <w:rFonts w:ascii="Calibri" w:hAnsi="Calibri"/>
          <w:b/>
          <w:i w:val="0"/>
          <w:color w:val="1E7A8C"/>
          <w:sz w:val="26"/>
        </w:rPr>
        <w:t>13.1   Key dropdowns &amp; options</w:t>
      </w:r>
    </w:p>
    <w:p>
      <w:pPr>
        <w:spacing w:after="140"/>
        <w:jc w:val="both"/>
      </w:pPr>
      <w:r>
        <w:rPr>
          <w:rFonts w:ascii="Calibri" w:hAnsi="Calibri"/>
          <w:b w:val="0"/>
          <w:i w:val="0"/>
          <w:color w:val="1B2A32"/>
          <w:sz w:val="21"/>
        </w:rPr>
        <w:t xml:space="preserve">Also exposed: </w:t>
      </w:r>
      <w:r>
        <w:rPr>
          <w:rFonts w:ascii="Calibri" w:hAnsi="Calibri"/>
          <w:b/>
          <w:i w:val="0"/>
          <w:color w:val="1B2A32"/>
          <w:sz w:val="21"/>
        </w:rPr>
        <w:t>loan type</w:t>
      </w:r>
      <w:r>
        <w:rPr>
          <w:rFonts w:ascii="Calibri" w:hAnsi="Calibri"/>
          <w:b w:val="0"/>
          <w:i w:val="0"/>
          <w:color w:val="1B2A32"/>
          <w:sz w:val="21"/>
        </w:rPr>
        <w:t xml:space="preserve"> (personal, vehicle, home, gold, education, business/MSME, credit card, BNPL, microfinance, P2P); </w:t>
      </w:r>
      <w:r>
        <w:rPr>
          <w:rFonts w:ascii="Calibri" w:hAnsi="Calibri"/>
          <w:b/>
          <w:i w:val="0"/>
          <w:color w:val="1B2A32"/>
          <w:sz w:val="21"/>
        </w:rPr>
        <w:t>lender type</w:t>
      </w:r>
      <w:r>
        <w:rPr>
          <w:rFonts w:ascii="Calibri" w:hAnsi="Calibri"/>
          <w:b w:val="0"/>
          <w:i w:val="0"/>
          <w:color w:val="1B2A32"/>
          <w:sz w:val="21"/>
        </w:rPr>
        <w:t xml:space="preserve"> (bank, NBFC, HFC, fintech/LSP, microfinance, P2P platform, private); </w:t>
      </w:r>
      <w:r>
        <w:rPr>
          <w:rFonts w:ascii="Calibri" w:hAnsi="Calibri"/>
          <w:b/>
          <w:i w:val="0"/>
          <w:color w:val="1B2A32"/>
          <w:sz w:val="21"/>
        </w:rPr>
        <w:t>amount band</w:t>
      </w:r>
      <w:r>
        <w:rPr>
          <w:rFonts w:ascii="Calibri" w:hAnsi="Calibri"/>
          <w:b w:val="0"/>
          <w:i w:val="0"/>
          <w:color w:val="1B2A32"/>
          <w:sz w:val="21"/>
        </w:rPr>
        <w:t xml:space="preserve">; </w:t>
      </w:r>
      <w:r>
        <w:rPr>
          <w:rFonts w:ascii="Calibri" w:hAnsi="Calibri"/>
          <w:b/>
          <w:i w:val="0"/>
          <w:color w:val="1B2A32"/>
          <w:sz w:val="21"/>
        </w:rPr>
        <w:t>arbitration clause?</w:t>
      </w:r>
      <w:r>
        <w:rPr>
          <w:rFonts w:ascii="Calibri" w:hAnsi="Calibri"/>
          <w:b w:val="0"/>
          <w:i w:val="0"/>
          <w:color w:val="1B2A32"/>
          <w:sz w:val="21"/>
        </w:rPr>
        <w:t xml:space="preserve">; </w:t>
      </w:r>
      <w:r>
        <w:rPr>
          <w:rFonts w:ascii="Calibri" w:hAnsi="Calibri"/>
          <w:b/>
          <w:i w:val="0"/>
          <w:color w:val="1B2A32"/>
          <w:sz w:val="21"/>
        </w:rPr>
        <w:t>security?</w:t>
      </w:r>
      <w:r>
        <w:rPr>
          <w:rFonts w:ascii="Calibri" w:hAnsi="Calibri"/>
          <w:b w:val="0"/>
          <w:i w:val="0"/>
          <w:color w:val="1B2A32"/>
          <w:sz w:val="21"/>
        </w:rPr>
        <w:t xml:space="preserve"> (secured/unsecured); </w:t>
      </w:r>
      <w:r>
        <w:rPr>
          <w:rFonts w:ascii="Calibri" w:hAnsi="Calibri"/>
          <w:b/>
          <w:i w:val="0"/>
          <w:color w:val="1B2A32"/>
          <w:sz w:val="21"/>
        </w:rPr>
        <w:t>relief</w:t>
      </w:r>
      <w:r>
        <w:rPr>
          <w:rFonts w:ascii="Calibri" w:hAnsi="Calibri"/>
          <w:b w:val="0"/>
          <w:i w:val="0"/>
          <w:color w:val="1B2A32"/>
          <w:sz w:val="21"/>
        </w:rPr>
        <w:t xml:space="preserve"> (waiver/OTS, refund of charges, stop harassment, credit-bureau correction, restructuring, No-Dues/NOC, recovery of amount, compounding of cheque case); and </w:t>
      </w:r>
      <w:r>
        <w:rPr>
          <w:rFonts w:ascii="Calibri" w:hAnsi="Calibri"/>
          <w:b/>
          <w:i w:val="0"/>
          <w:color w:val="1B2A32"/>
          <w:sz w:val="21"/>
        </w:rPr>
        <w:t>initiated by</w:t>
      </w:r>
      <w:r>
        <w:rPr>
          <w:rFonts w:ascii="Calibri" w:hAnsi="Calibri"/>
          <w:b w:val="0"/>
          <w:i w:val="0"/>
          <w:color w:val="1B2A32"/>
          <w:sz w:val="21"/>
        </w:rPr>
        <w:t xml:space="preserve"> (borrower / lender).</w:t>
      </w:r>
    </w:p>
    <w:p>
      <w:pPr>
        <w:keepNext/>
        <w:spacing w:before="320" w:after="140"/>
        <w:pBdr>
          <w:bottom w:val="single" w:sz="12" w:space="3" w:color="C6A15B"/>
        </w:pBdr>
      </w:pPr>
      <w:r>
        <w:rPr>
          <w:rFonts w:ascii="Calibri" w:hAnsi="Calibri"/>
          <w:b/>
          <w:i w:val="0"/>
          <w:color w:val="123B4F"/>
          <w:sz w:val="34"/>
        </w:rPr>
        <w:t>14.  User Roles &amp; Access Management</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Role</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7"/>
              </w:rPr>
              <w:t>Who</w:t>
            </w:r>
          </w:p>
        </w:tc>
        <w:tc>
          <w:tcPr>
            <w:tcW w:type="dxa" w:w="5132"/>
            <w:shd w:val="clear" w:color="auto" w:fill="123B4F"/>
            <w:tcMar>
              <w:top w:w="60" w:type="dxa"/>
              <w:bottom w:w="60" w:type="dxa"/>
              <w:start w:w="110" w:type="dxa"/>
              <w:end w:w="110" w:type="dxa"/>
            </w:tcMar>
          </w:tcPr>
          <w:p>
            <w:pPr>
              <w:spacing w:after="0"/>
            </w:pPr>
            <w:r>
              <w:rPr>
                <w:rFonts w:ascii="Calibri" w:hAnsi="Calibri"/>
                <w:b/>
                <w:i w:val="0"/>
                <w:color w:val="FFFFFF"/>
                <w:sz w:val="17"/>
              </w:rPr>
              <w:t>Core permissions</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Borrower</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Individual / business borrower or guarantor</w:t>
            </w:r>
          </w:p>
        </w:tc>
        <w:tc>
          <w:tcPr>
            <w:tcW w:type="dxa" w:w="5132"/>
            <w:tcMar>
              <w:top w:w="60" w:type="dxa"/>
              <w:bottom w:w="60" w:type="dxa"/>
              <w:start w:w="110" w:type="dxa"/>
              <w:end w:w="110" w:type="dxa"/>
            </w:tcMar>
          </w:tcPr>
          <w:p>
            <w:pPr>
              <w:spacing w:after="0"/>
              <w:jc w:val="left"/>
            </w:pPr>
            <w:r>
              <w:rPr>
                <w:rFonts w:ascii="Calibri" w:hAnsi="Calibri"/>
                <w:b w:val="0"/>
                <w:i w:val="0"/>
                <w:color w:val="1B2A32"/>
                <w:sz w:val="17"/>
              </w:rPr>
              <w:t>File dispute/complaint; upload loan docs; propose OTS; join sessions; e-sign; fund/receive escrow</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Lender</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Bank / NBFC / fintech / LSP</w:t>
            </w:r>
          </w:p>
        </w:tc>
        <w:tc>
          <w:tcPr>
            <w:tcW w:type="dxa" w:w="513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File recovery/settlement; respond; upload statements; approve OTS (board policy); e-sign; escrow</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Neutral (mediator/conciliator/arbitrator)</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Empanelled neutral</w:t>
            </w:r>
          </w:p>
        </w:tc>
        <w:tc>
          <w:tcPr>
            <w:tcW w:type="dxa" w:w="5132"/>
            <w:tcMar>
              <w:top w:w="60" w:type="dxa"/>
              <w:bottom w:w="60" w:type="dxa"/>
              <w:start w:w="110" w:type="dxa"/>
              <w:end w:w="110" w:type="dxa"/>
            </w:tcMar>
          </w:tcPr>
          <w:p>
            <w:pPr>
              <w:spacing w:after="0"/>
              <w:jc w:val="left"/>
            </w:pPr>
            <w:r>
              <w:rPr>
                <w:rFonts w:ascii="Calibri" w:hAnsi="Calibri"/>
                <w:b w:val="0"/>
                <w:i w:val="0"/>
                <w:color w:val="1B2A32"/>
                <w:sz w:val="17"/>
              </w:rPr>
              <w:t>Conduct sessions; draft settlement/award; issue reports</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Case Manager</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Equator officer</w:t>
            </w:r>
          </w:p>
        </w:tc>
        <w:tc>
          <w:tcPr>
            <w:tcW w:type="dxa" w:w="513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Screen &amp; triage; serve notices; enforce timeline; manage documents, escrow &amp; NOC; support neutral</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Representative / advocate</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For either party</w:t>
            </w:r>
          </w:p>
        </w:tc>
        <w:tc>
          <w:tcPr>
            <w:tcW w:type="dxa" w:w="5132"/>
            <w:tcMar>
              <w:top w:w="60" w:type="dxa"/>
              <w:bottom w:w="60" w:type="dxa"/>
              <w:start w:w="110" w:type="dxa"/>
              <w:end w:w="110" w:type="dxa"/>
            </w:tcMar>
          </w:tcPr>
          <w:p>
            <w:pPr>
              <w:spacing w:after="0"/>
              <w:jc w:val="left"/>
            </w:pPr>
            <w:r>
              <w:rPr>
                <w:rFonts w:ascii="Calibri" w:hAnsi="Calibri"/>
                <w:b w:val="0"/>
                <w:i w:val="0"/>
                <w:color w:val="1B2A32"/>
                <w:sz w:val="17"/>
              </w:rPr>
              <w:t>Represent on authorisation; attend sessions; assist with court/Lok Adalat/compounding</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Grievance liaison (lender)</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RE/LSP nodal officer</w:t>
            </w:r>
          </w:p>
        </w:tc>
        <w:tc>
          <w:tcPr>
            <w:tcW w:type="dxa" w:w="513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Coordinate grievance handling and settlement approval</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Administrator</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Equator admin</w:t>
            </w:r>
          </w:p>
        </w:tc>
        <w:tc>
          <w:tcPr>
            <w:tcW w:type="dxa" w:w="5132"/>
            <w:tcMar>
              <w:top w:w="60" w:type="dxa"/>
              <w:bottom w:w="60" w:type="dxa"/>
              <w:start w:w="110" w:type="dxa"/>
              <w:end w:w="110" w:type="dxa"/>
            </w:tcMar>
          </w:tcPr>
          <w:p>
            <w:pPr>
              <w:spacing w:after="0"/>
              <w:jc w:val="left"/>
            </w:pPr>
            <w:r>
              <w:rPr>
                <w:rFonts w:ascii="Calibri" w:hAnsi="Calibri"/>
                <w:b w:val="0"/>
                <w:i w:val="0"/>
                <w:color w:val="1B2A32"/>
                <w:sz w:val="17"/>
              </w:rPr>
              <w:t>Panel; audit logs; compliance &amp; DPDP; no access to caucus content</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Escrow Officer</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Equator finance + partner bank</w:t>
            </w:r>
          </w:p>
        </w:tc>
        <w:tc>
          <w:tcPr>
            <w:tcW w:type="dxa" w:w="513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Escrow set-up; funding; conditional release; KYC/PMLA</w:t>
            </w:r>
          </w:p>
        </w:tc>
      </w:tr>
    </w:tbl>
    <w:p>
      <w:pPr>
        <w:spacing w:after="80"/>
      </w:pPr>
    </w:p>
    <w:p>
      <w:pPr>
        <w:spacing w:before="20" w:after="200"/>
        <w:jc w:val="center"/>
      </w:pPr>
      <w:r>
        <w:rPr>
          <w:rFonts w:ascii="Calibri" w:hAnsi="Calibri"/>
          <w:b w:val="0"/>
          <w:i/>
          <w:color w:val="556168"/>
          <w:sz w:val="17"/>
        </w:rPr>
        <w:t>Table 3 — Roles and least-privilege access.</w:t>
      </w:r>
    </w:p>
    <w:p>
      <w:pPr>
        <w:keepNext/>
        <w:spacing w:before="320" w:after="140"/>
        <w:pBdr>
          <w:bottom w:val="single" w:sz="12" w:space="3" w:color="C6A15B"/>
        </w:pBdr>
      </w:pPr>
      <w:r>
        <w:rPr>
          <w:rFonts w:ascii="Calibri" w:hAnsi="Calibri"/>
          <w:b/>
          <w:i w:val="0"/>
          <w:color w:val="123B4F"/>
          <w:sz w:val="34"/>
        </w:rPr>
        <w:t>15.  Onboarding &amp; Registration (KYC / KYB)</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Borrowers verify identity (KYC); lenders verify as a business (KYB). The platform captures the loan and the dispute, records DPDP consent, and triages to the right route.</w:t>
            </w:r>
          </w:p>
        </w:tc>
      </w:tr>
    </w:tbl>
    <w:p>
      <w:pPr>
        <w:spacing w:after="120"/>
      </w:pPr>
    </w:p>
    <w:p>
      <w:pPr>
        <w:pStyle w:val="ListNumber"/>
        <w:spacing w:after="60"/>
        <w:jc w:val="both"/>
      </w:pPr>
      <w:r>
        <w:rPr>
          <w:rFonts w:ascii="Calibri" w:hAnsi="Calibri"/>
          <w:b/>
          <w:i w:val="0"/>
          <w:color w:val="1B2A32"/>
          <w:sz w:val="21"/>
        </w:rPr>
        <w:t>Dispute Explorer (no login):</w:t>
      </w:r>
      <w:r>
        <w:rPr>
          <w:rFonts w:ascii="Calibri" w:hAnsi="Calibri"/>
          <w:b w:val="0"/>
          <w:i w:val="0"/>
          <w:color w:val="1B2A32"/>
          <w:sz w:val="21"/>
        </w:rPr>
        <w:t xml:space="preserve"> AI-assisted self-assessment — the right route, the borrower's rights, and a likely settlement range.</w:t>
      </w:r>
    </w:p>
    <w:p>
      <w:pPr>
        <w:pStyle w:val="ListNumber"/>
        <w:spacing w:after="60"/>
        <w:jc w:val="both"/>
      </w:pPr>
      <w:r>
        <w:rPr>
          <w:rFonts w:ascii="Calibri" w:hAnsi="Calibri"/>
          <w:b/>
          <w:i w:val="0"/>
          <w:color w:val="1B2A32"/>
          <w:sz w:val="21"/>
        </w:rPr>
        <w:t>Account &amp; verification:</w:t>
      </w:r>
      <w:r>
        <w:rPr>
          <w:rFonts w:ascii="Calibri" w:hAnsi="Calibri"/>
          <w:b w:val="0"/>
          <w:i w:val="0"/>
          <w:color w:val="1B2A32"/>
          <w:sz w:val="21"/>
        </w:rPr>
        <w:t xml:space="preserve"> individual KYC (Aadhaar/PAN e-KYC) for borrowers; KYB (CIN/GSTIN, authority) for lenders.</w:t>
      </w:r>
    </w:p>
    <w:p>
      <w:pPr>
        <w:pStyle w:val="ListNumber"/>
        <w:spacing w:after="60"/>
        <w:jc w:val="both"/>
      </w:pPr>
      <w:r>
        <w:rPr>
          <w:rFonts w:ascii="Calibri" w:hAnsi="Calibri"/>
          <w:b/>
          <w:i w:val="0"/>
          <w:color w:val="1B2A32"/>
          <w:sz w:val="21"/>
        </w:rPr>
        <w:t>DPDP consent:</w:t>
      </w:r>
      <w:r>
        <w:rPr>
          <w:rFonts w:ascii="Calibri" w:hAnsi="Calibri"/>
          <w:b w:val="0"/>
          <w:i w:val="0"/>
          <w:color w:val="1B2A32"/>
          <w:sz w:val="21"/>
        </w:rPr>
        <w:t xml:space="preserve"> itemised notice and consent for processing financial data; special care for sensitive data.</w:t>
      </w:r>
    </w:p>
    <w:p>
      <w:pPr>
        <w:pStyle w:val="ListNumber"/>
        <w:spacing w:after="60"/>
        <w:jc w:val="both"/>
      </w:pPr>
      <w:r>
        <w:rPr>
          <w:rFonts w:ascii="Calibri" w:hAnsi="Calibri"/>
          <w:b/>
          <w:i w:val="0"/>
          <w:color w:val="1B2A32"/>
          <w:sz w:val="21"/>
        </w:rPr>
        <w:t>Dispute intake:</w:t>
      </w:r>
      <w:r>
        <w:rPr>
          <w:rFonts w:ascii="Calibri" w:hAnsi="Calibri"/>
          <w:b w:val="0"/>
          <w:i w:val="0"/>
          <w:color w:val="1B2A32"/>
          <w:sz w:val="21"/>
        </w:rPr>
        <w:t xml:space="preserve"> dispute type → loan/lender type → amount → relief; upload the loan agreement, statements and notices.</w:t>
      </w:r>
    </w:p>
    <w:p>
      <w:pPr>
        <w:pStyle w:val="ListNumber"/>
        <w:spacing w:after="60"/>
        <w:jc w:val="both"/>
      </w:pPr>
      <w:r>
        <w:rPr>
          <w:rFonts w:ascii="Calibri" w:hAnsi="Calibri"/>
          <w:b/>
          <w:i w:val="0"/>
          <w:color w:val="1B2A32"/>
          <w:sz w:val="21"/>
        </w:rPr>
        <w:t>Route triage &amp; agreement to the Rules:</w:t>
      </w:r>
      <w:r>
        <w:rPr>
          <w:rFonts w:ascii="Calibri" w:hAnsi="Calibri"/>
          <w:b w:val="0"/>
          <w:i w:val="0"/>
          <w:color w:val="1B2A32"/>
          <w:sz w:val="21"/>
        </w:rPr>
        <w:t xml:space="preserve"> the platform runs the mechanism triage; the parties accept the applicable rules and fees and e-sign.</w:t>
      </w:r>
    </w:p>
    <w:p>
      <w:pPr>
        <w:pStyle w:val="ListNumber"/>
        <w:spacing w:after="60"/>
        <w:jc w:val="both"/>
      </w:pPr>
      <w:r>
        <w:rPr>
          <w:rFonts w:ascii="Calibri" w:hAnsi="Calibri"/>
          <w:b/>
          <w:i w:val="0"/>
          <w:color w:val="1B2A32"/>
          <w:sz w:val="21"/>
        </w:rPr>
        <w:t>Screening &amp; registration:</w:t>
      </w:r>
      <w:r>
        <w:rPr>
          <w:rFonts w:ascii="Calibri" w:hAnsi="Calibri"/>
          <w:b w:val="0"/>
          <w:i w:val="0"/>
          <w:color w:val="1B2A32"/>
          <w:sz w:val="21"/>
        </w:rPr>
        <w:t xml:space="preserve"> the case manager validates, assigns a case number, and opens the file (and flags any special-forum referral).</w:t>
      </w:r>
    </w:p>
    <w:p>
      <w:pPr>
        <w:spacing w:after="40"/>
      </w:pPr>
    </w:p>
    <w:p>
      <w:pPr>
        <w:keepNext/>
        <w:spacing w:before="320" w:after="140"/>
        <w:pBdr>
          <w:bottom w:val="single" w:sz="12" w:space="3" w:color="C6A15B"/>
        </w:pBdr>
      </w:pPr>
      <w:r>
        <w:rPr>
          <w:rFonts w:ascii="Calibri" w:hAnsi="Calibri"/>
          <w:b/>
          <w:i w:val="0"/>
          <w:color w:val="123B4F"/>
          <w:sz w:val="34"/>
        </w:rPr>
        <w:t>16.  End-to-End Workflow</w:t>
      </w:r>
    </w:p>
    <w:p>
      <w:pPr>
        <w:spacing w:after="140"/>
        <w:jc w:val="both"/>
      </w:pPr>
      <w:r>
        <w:rPr>
          <w:rFonts w:ascii="Calibri" w:hAnsi="Calibri"/>
          <w:b w:val="0"/>
          <w:i w:val="0"/>
          <w:color w:val="1B2A32"/>
          <w:sz w:val="21"/>
        </w:rPr>
        <w:t xml:space="preserve">A financial matter runs on one of several tracks — </w:t>
      </w:r>
      <w:r>
        <w:rPr>
          <w:rFonts w:ascii="Calibri" w:hAnsi="Calibri"/>
          <w:b/>
          <w:i w:val="0"/>
          <w:color w:val="1B2A32"/>
          <w:sz w:val="21"/>
        </w:rPr>
        <w:t>conciliation/mediation &amp; OTS</w:t>
      </w:r>
      <w:r>
        <w:rPr>
          <w:rFonts w:ascii="Calibri" w:hAnsi="Calibri"/>
          <w:b w:val="0"/>
          <w:i w:val="0"/>
          <w:color w:val="1B2A32"/>
          <w:sz w:val="21"/>
        </w:rPr>
        <w:t xml:space="preserve">, </w:t>
      </w:r>
      <w:r>
        <w:rPr>
          <w:rFonts w:ascii="Calibri" w:hAnsi="Calibri"/>
          <w:b/>
          <w:i w:val="0"/>
          <w:color w:val="1B2A32"/>
          <w:sz w:val="21"/>
        </w:rPr>
        <w:t>NI-138 mediation-to-compounding</w:t>
      </w:r>
      <w:r>
        <w:rPr>
          <w:rFonts w:ascii="Calibri" w:hAnsi="Calibri"/>
          <w:b w:val="0"/>
          <w:i w:val="0"/>
          <w:color w:val="1B2A32"/>
          <w:sz w:val="21"/>
        </w:rPr>
        <w:t xml:space="preserve">, </w:t>
      </w:r>
      <w:r>
        <w:rPr>
          <w:rFonts w:ascii="Calibri" w:hAnsi="Calibri"/>
          <w:b/>
          <w:i w:val="0"/>
          <w:color w:val="1B2A32"/>
          <w:sz w:val="21"/>
        </w:rPr>
        <w:t>arbitration</w:t>
      </w:r>
      <w:r>
        <w:rPr>
          <w:rFonts w:ascii="Calibri" w:hAnsi="Calibri"/>
          <w:b w:val="0"/>
          <w:i w:val="0"/>
          <w:color w:val="1B2A32"/>
          <w:sz w:val="21"/>
        </w:rPr>
        <w:t xml:space="preserve"> (where a clause applies), or a </w:t>
      </w:r>
      <w:r>
        <w:rPr>
          <w:rFonts w:ascii="Calibri" w:hAnsi="Calibri"/>
          <w:b/>
          <w:i w:val="0"/>
          <w:color w:val="1B2A32"/>
          <w:sz w:val="21"/>
        </w:rPr>
        <w:t>guided referral</w:t>
      </w:r>
      <w:r>
        <w:rPr>
          <w:rFonts w:ascii="Calibri" w:hAnsi="Calibri"/>
          <w:b w:val="0"/>
          <w:i w:val="0"/>
          <w:color w:val="1B2A32"/>
          <w:sz w:val="21"/>
        </w:rPr>
        <w:t xml:space="preserve"> to the RBI Ombudsman or the DRT — sharing common intake, escrow, e-execution and closure. The commonest path is a mediated </w:t>
      </w:r>
      <w:r>
        <w:rPr>
          <w:rFonts w:ascii="Calibri" w:hAnsi="Calibri"/>
          <w:b/>
          <w:i w:val="0"/>
          <w:color w:val="1B2A32"/>
          <w:sz w:val="21"/>
        </w:rPr>
        <w:t>one-time settlement</w:t>
      </w:r>
      <w:r>
        <w:rPr>
          <w:rFonts w:ascii="Calibri" w:hAnsi="Calibri"/>
          <w:b w:val="0"/>
          <w:i w:val="0"/>
          <w:color w:val="1B2A32"/>
          <w:sz w:val="21"/>
        </w:rPr>
        <w:t xml:space="preserve">, funded through escrow and released against a </w:t>
      </w:r>
      <w:r>
        <w:rPr>
          <w:rFonts w:ascii="Calibri" w:hAnsi="Calibri"/>
          <w:b/>
          <w:i w:val="0"/>
          <w:color w:val="1B2A32"/>
          <w:sz w:val="21"/>
        </w:rPr>
        <w:t>No-Dues/NOC</w:t>
      </w:r>
      <w:r>
        <w:rPr>
          <w:rFonts w:ascii="Calibri" w:hAnsi="Calibri"/>
          <w:b w:val="0"/>
          <w:i w:val="0"/>
          <w:color w:val="1B2A32"/>
          <w:sz w:val="21"/>
        </w:rPr>
        <w:t>, with the borrower's credit record updated on closure.</w:t>
      </w:r>
    </w:p>
    <w:p>
      <w:pPr>
        <w:spacing w:before="80" w:after="40"/>
        <w:jc w:val="center"/>
      </w:pPr>
      <w:r>
        <w:drawing>
          <wp:inline xmlns:a="http://schemas.openxmlformats.org/drawingml/2006/main" xmlns:pic="http://schemas.openxmlformats.org/drawingml/2006/picture">
            <wp:extent cx="4023360" cy="7374660"/>
            <wp:docPr id="7" name="Picture 7"/>
            <wp:cNvGraphicFramePr>
              <a:graphicFrameLocks noChangeAspect="1"/>
            </wp:cNvGraphicFramePr>
            <a:graphic>
              <a:graphicData uri="http://schemas.openxmlformats.org/drawingml/2006/picture">
                <pic:pic>
                  <pic:nvPicPr>
                    <pic:cNvPr id="0" name="fl01_lifecycle.png"/>
                    <pic:cNvPicPr/>
                  </pic:nvPicPr>
                  <pic:blipFill>
                    <a:blip r:embed="rId15"/>
                    <a:stretch>
                      <a:fillRect/>
                    </a:stretch>
                  </pic:blipFill>
                  <pic:spPr>
                    <a:xfrm>
                      <a:off x="0" y="0"/>
                      <a:ext cx="4023360" cy="7374660"/>
                    </a:xfrm>
                    <a:prstGeom prst="rect"/>
                  </pic:spPr>
                </pic:pic>
              </a:graphicData>
            </a:graphic>
          </wp:inline>
        </w:drawing>
      </w:r>
    </w:p>
    <w:p>
      <w:pPr>
        <w:spacing w:before="20" w:after="200"/>
        <w:jc w:val="center"/>
      </w:pPr>
      <w:r>
        <w:rPr>
          <w:rFonts w:ascii="Calibri" w:hAnsi="Calibri"/>
          <w:b w:val="0"/>
          <w:i/>
          <w:color w:val="556168"/>
          <w:sz w:val="17"/>
        </w:rPr>
        <w:t>Figure 7 — The end-to-end loan-dispute workflow, from intake to No-Dues/NOC.</w:t>
      </w:r>
    </w:p>
    <w:p>
      <w:pPr>
        <w:keepNext/>
        <w:spacing w:before="320" w:after="140"/>
        <w:pBdr>
          <w:bottom w:val="single" w:sz="12" w:space="3" w:color="C6A15B"/>
        </w:pBdr>
      </w:pPr>
      <w:r>
        <w:rPr>
          <w:rFonts w:ascii="Calibri" w:hAnsi="Calibri"/>
          <w:b/>
          <w:i w:val="0"/>
          <w:color w:val="123B4F"/>
          <w:sz w:val="34"/>
        </w:rPr>
        <w:t>17.  Initiation, Response &amp; Either-Party Access</w:t>
      </w:r>
    </w:p>
    <w:p>
      <w:pPr>
        <w:spacing w:after="140"/>
        <w:jc w:val="both"/>
      </w:pPr>
      <w:r>
        <w:rPr>
          <w:rFonts w:ascii="Calibri" w:hAnsi="Calibri"/>
          <w:b w:val="0"/>
          <w:i w:val="0"/>
          <w:color w:val="1B2A32"/>
          <w:sz w:val="21"/>
        </w:rPr>
        <w:t xml:space="preserve">Equator is </w:t>
      </w:r>
      <w:r>
        <w:rPr>
          <w:rFonts w:ascii="Calibri" w:hAnsi="Calibri"/>
          <w:b/>
          <w:i w:val="0"/>
          <w:color w:val="1B2A32"/>
          <w:sz w:val="21"/>
        </w:rPr>
        <w:t>symmetrical</w:t>
      </w:r>
      <w:r>
        <w:rPr>
          <w:rFonts w:ascii="Calibri" w:hAnsi="Calibri"/>
          <w:b w:val="0"/>
          <w:i w:val="0"/>
          <w:color w:val="1B2A32"/>
          <w:sz w:val="21"/>
        </w:rPr>
        <w:t xml:space="preserve">: either the </w:t>
      </w:r>
      <w:r>
        <w:rPr>
          <w:rFonts w:ascii="Calibri" w:hAnsi="Calibri"/>
          <w:b/>
          <w:i w:val="0"/>
          <w:color w:val="1B2A32"/>
          <w:sz w:val="21"/>
        </w:rPr>
        <w:t>borrower</w:t>
      </w:r>
      <w:r>
        <w:rPr>
          <w:rFonts w:ascii="Calibri" w:hAnsi="Calibri"/>
          <w:b w:val="0"/>
          <w:i w:val="0"/>
          <w:color w:val="1B2A32"/>
          <w:sz w:val="21"/>
        </w:rPr>
        <w:t xml:space="preserve"> or the </w:t>
      </w:r>
      <w:r>
        <w:rPr>
          <w:rFonts w:ascii="Calibri" w:hAnsi="Calibri"/>
          <w:b/>
          <w:i w:val="0"/>
          <w:color w:val="1B2A32"/>
          <w:sz w:val="21"/>
        </w:rPr>
        <w:t>lender</w:t>
      </w:r>
      <w:r>
        <w:rPr>
          <w:rFonts w:ascii="Calibri" w:hAnsi="Calibri"/>
          <w:b w:val="0"/>
          <w:i w:val="0"/>
          <w:color w:val="1B2A32"/>
          <w:sz w:val="21"/>
        </w:rPr>
        <w:t xml:space="preserve"> may commence. A lender may file to recover or to offer an OTS; a borrower may file to dispute charges, settle, stop harassment, correct a credit record, or restructure. The other party is formally invited to respond. Because a borrower is often the more vulnerable party, the process is designed to be </w:t>
      </w:r>
      <w:r>
        <w:rPr>
          <w:rFonts w:ascii="Calibri" w:hAnsi="Calibri"/>
          <w:b/>
          <w:i w:val="0"/>
          <w:color w:val="1B2A32"/>
          <w:sz w:val="21"/>
        </w:rPr>
        <w:t>accessible and fair</w:t>
      </w:r>
      <w:r>
        <w:rPr>
          <w:rFonts w:ascii="Calibri" w:hAnsi="Calibri"/>
          <w:b w:val="0"/>
          <w:i w:val="0"/>
          <w:color w:val="1B2A32"/>
          <w:sz w:val="21"/>
        </w:rPr>
        <w:t xml:space="preserve"> — plain language, vernacular support, protection from coercion, and clear information about rights and the RBI grievance routes.</w:t>
      </w:r>
    </w:p>
    <w:p>
      <w:pPr>
        <w:keepNext/>
        <w:spacing w:before="320" w:after="140"/>
        <w:pBdr>
          <w:bottom w:val="single" w:sz="12" w:space="3" w:color="C6A15B"/>
        </w:pBdr>
      </w:pPr>
      <w:r>
        <w:rPr>
          <w:rFonts w:ascii="Calibri" w:hAnsi="Calibri"/>
          <w:b/>
          <w:i w:val="0"/>
          <w:color w:val="123B4F"/>
          <w:sz w:val="34"/>
        </w:rPr>
        <w:t>18.  Neutral Selection &amp; Empanelment</w:t>
      </w:r>
    </w:p>
    <w:p>
      <w:pPr>
        <w:spacing w:after="140"/>
        <w:jc w:val="both"/>
      </w:pPr>
      <w:r>
        <w:rPr>
          <w:rFonts w:ascii="Calibri" w:hAnsi="Calibri"/>
          <w:b w:val="0"/>
          <w:i w:val="0"/>
          <w:color w:val="1B2A32"/>
          <w:sz w:val="21"/>
        </w:rPr>
        <w:t xml:space="preserve">Equator maintains a panel of </w:t>
      </w:r>
      <w:r>
        <w:rPr>
          <w:rFonts w:ascii="Calibri" w:hAnsi="Calibri"/>
          <w:b/>
          <w:i w:val="0"/>
          <w:color w:val="1B2A32"/>
          <w:sz w:val="21"/>
        </w:rPr>
        <w:t>conciliators, mediators and arbitrators</w:t>
      </w:r>
      <w:r>
        <w:rPr>
          <w:rFonts w:ascii="Calibri" w:hAnsi="Calibri"/>
          <w:b w:val="0"/>
          <w:i w:val="0"/>
          <w:color w:val="1B2A32"/>
          <w:sz w:val="21"/>
        </w:rPr>
        <w:t xml:space="preserve"> with banking/finance experience (former bankers, recovery and finance lawyers, retired officers, trained mediators), filterable by language, city, product expertise, mode and fee. Appointment follows party autonomy or, failing agreement, institutional appointment; every neutral is conflict-checked and signs a disclosure before appointment. For high-volume, lower-value matters (cheque bounce, small loans), a fast, single-neutral, online process is the norm.</w:t>
      </w:r>
    </w:p>
    <w:p>
      <w:pPr>
        <w:keepNext/>
        <w:spacing w:before="320" w:after="140"/>
        <w:pBdr>
          <w:bottom w:val="single" w:sz="12" w:space="3" w:color="C6A15B"/>
        </w:pBdr>
      </w:pPr>
      <w:r>
        <w:rPr>
          <w:rFonts w:ascii="Calibri" w:hAnsi="Calibri"/>
          <w:b/>
          <w:i w:val="0"/>
          <w:color w:val="123B4F"/>
          <w:sz w:val="34"/>
        </w:rPr>
        <w:t>19.  Conducting Proceedings — The Case Manager Playbook</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1521"/>
            <w:shd w:val="clear" w:color="auto" w:fill="123B4F"/>
            <w:tcMar>
              <w:top w:w="60" w:type="dxa"/>
              <w:bottom w:w="60" w:type="dxa"/>
              <w:start w:w="110" w:type="dxa"/>
              <w:end w:w="110" w:type="dxa"/>
            </w:tcMar>
          </w:tcPr>
          <w:p>
            <w:pPr>
              <w:spacing w:after="0"/>
            </w:pPr>
            <w:r>
              <w:rPr>
                <w:rFonts w:ascii="Calibri" w:hAnsi="Calibri"/>
                <w:b/>
                <w:i w:val="0"/>
                <w:color w:val="FFFFFF"/>
                <w:sz w:val="17"/>
              </w:rPr>
              <w:t>Stage</w:t>
            </w:r>
          </w:p>
        </w:tc>
        <w:tc>
          <w:tcPr>
            <w:tcW w:type="dxa" w:w="5702"/>
            <w:shd w:val="clear" w:color="auto" w:fill="123B4F"/>
            <w:tcMar>
              <w:top w:w="60" w:type="dxa"/>
              <w:bottom w:w="60" w:type="dxa"/>
              <w:start w:w="110" w:type="dxa"/>
              <w:end w:w="110" w:type="dxa"/>
            </w:tcMar>
          </w:tcPr>
          <w:p>
            <w:pPr>
              <w:spacing w:after="0"/>
            </w:pPr>
            <w:r>
              <w:rPr>
                <w:rFonts w:ascii="Calibri" w:hAnsi="Calibri"/>
                <w:b/>
                <w:i w:val="0"/>
                <w:color w:val="FFFFFF"/>
                <w:sz w:val="17"/>
              </w:rPr>
              <w:t>Case-manager actions</w:t>
            </w:r>
          </w:p>
        </w:tc>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7"/>
              </w:rPr>
              <w:t>Key forms / outputs</w:t>
            </w:r>
          </w:p>
        </w:tc>
      </w:tr>
      <w:tr>
        <w:trPr>
          <w:trHeight w:val="0"/>
        </w:trPr>
        <w:tc>
          <w:tcPr>
            <w:tcW w:type="dxa" w:w="1521"/>
            <w:tcMar>
              <w:top w:w="60" w:type="dxa"/>
              <w:bottom w:w="60" w:type="dxa"/>
              <w:start w:w="110" w:type="dxa"/>
              <w:end w:w="110" w:type="dxa"/>
            </w:tcMar>
          </w:tcPr>
          <w:p>
            <w:pPr>
              <w:spacing w:after="0"/>
              <w:jc w:val="left"/>
            </w:pPr>
            <w:r>
              <w:rPr>
                <w:rFonts w:ascii="Calibri" w:hAnsi="Calibri"/>
                <w:b w:val="0"/>
                <w:i w:val="0"/>
                <w:color w:val="1B2A32"/>
                <w:sz w:val="17"/>
              </w:rPr>
              <w:t>Intake &amp; triage</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KYC/KYB &amp; consent; mechanism triage; register; flag special-forum referral</w:t>
            </w:r>
          </w:p>
        </w:tc>
        <w:tc>
          <w:tcPr>
            <w:tcW w:type="dxa" w:w="2281"/>
            <w:tcMar>
              <w:top w:w="60" w:type="dxa"/>
              <w:bottom w:w="60" w:type="dxa"/>
              <w:start w:w="110" w:type="dxa"/>
              <w:end w:w="110" w:type="dxa"/>
            </w:tcMar>
          </w:tcPr>
          <w:p>
            <w:pPr>
              <w:spacing w:after="0"/>
              <w:jc w:val="left"/>
            </w:pPr>
            <w:r>
              <w:rPr>
                <w:rFonts w:ascii="Calibri" w:hAnsi="Calibri"/>
                <w:b w:val="0"/>
                <w:i w:val="0"/>
                <w:color w:val="1B2A32"/>
                <w:sz w:val="17"/>
              </w:rPr>
              <w:t>Screening; case record</w:t>
            </w:r>
          </w:p>
        </w:tc>
      </w:tr>
      <w:tr>
        <w:trPr>
          <w:trHeight w:val="0"/>
        </w:trPr>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Notice &amp; response</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Serve notice on the other party; track response</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F-L03 Notice; F-L05 Response</w:t>
            </w:r>
          </w:p>
        </w:tc>
      </w:tr>
      <w:tr>
        <w:trPr>
          <w:trHeight w:val="0"/>
        </w:trPr>
        <w:tc>
          <w:tcPr>
            <w:tcW w:type="dxa" w:w="1521"/>
            <w:tcMar>
              <w:top w:w="60" w:type="dxa"/>
              <w:bottom w:w="60" w:type="dxa"/>
              <w:start w:w="110" w:type="dxa"/>
              <w:end w:w="110" w:type="dxa"/>
            </w:tcMar>
          </w:tcPr>
          <w:p>
            <w:pPr>
              <w:spacing w:after="0"/>
              <w:jc w:val="left"/>
            </w:pPr>
            <w:r>
              <w:rPr>
                <w:rFonts w:ascii="Calibri" w:hAnsi="Calibri"/>
                <w:b w:val="0"/>
                <w:i w:val="0"/>
                <w:color w:val="1B2A32"/>
                <w:sz w:val="17"/>
              </w:rPr>
              <w:t>Neutral appointment</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Filter panel; appoint; conflict check &amp; disclosure</w:t>
            </w:r>
          </w:p>
        </w:tc>
        <w:tc>
          <w:tcPr>
            <w:tcW w:type="dxa" w:w="2281"/>
            <w:tcMar>
              <w:top w:w="60" w:type="dxa"/>
              <w:bottom w:w="60" w:type="dxa"/>
              <w:start w:w="110" w:type="dxa"/>
              <w:end w:w="110" w:type="dxa"/>
            </w:tcMar>
          </w:tcPr>
          <w:p>
            <w:pPr>
              <w:spacing w:after="0"/>
              <w:jc w:val="left"/>
            </w:pPr>
            <w:r>
              <w:rPr>
                <w:rFonts w:ascii="Calibri" w:hAnsi="Calibri"/>
                <w:b w:val="0"/>
                <w:i w:val="0"/>
                <w:color w:val="1B2A32"/>
                <w:sz w:val="17"/>
              </w:rPr>
              <w:t>F-L06 selection/disclosure</w:t>
            </w:r>
          </w:p>
        </w:tc>
      </w:tr>
      <w:tr>
        <w:trPr>
          <w:trHeight w:val="0"/>
        </w:trPr>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Sessions</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Convene conciliation/mediation (online); compute settlement options</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Session log; settlement worksheet</w:t>
            </w:r>
          </w:p>
        </w:tc>
      </w:tr>
      <w:tr>
        <w:trPr>
          <w:trHeight w:val="0"/>
        </w:trPr>
        <w:tc>
          <w:tcPr>
            <w:tcW w:type="dxa" w:w="1521"/>
            <w:tcMar>
              <w:top w:w="60" w:type="dxa"/>
              <w:bottom w:w="60" w:type="dxa"/>
              <w:start w:w="110" w:type="dxa"/>
              <w:end w:w="110" w:type="dxa"/>
            </w:tcMar>
          </w:tcPr>
          <w:p>
            <w:pPr>
              <w:spacing w:after="0"/>
              <w:jc w:val="left"/>
            </w:pPr>
            <w:r>
              <w:rPr>
                <w:rFonts w:ascii="Calibri" w:hAnsi="Calibri"/>
                <w:b w:val="0"/>
                <w:i w:val="0"/>
                <w:color w:val="1B2A32"/>
                <w:sz w:val="17"/>
              </w:rPr>
              <w:t>Settlement</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Draft OTS/MSA or consent award; set up escrow &amp; NOC</w:t>
            </w:r>
          </w:p>
        </w:tc>
        <w:tc>
          <w:tcPr>
            <w:tcW w:type="dxa" w:w="2281"/>
            <w:tcMar>
              <w:top w:w="60" w:type="dxa"/>
              <w:bottom w:w="60" w:type="dxa"/>
              <w:start w:w="110" w:type="dxa"/>
              <w:end w:w="110" w:type="dxa"/>
            </w:tcMar>
          </w:tcPr>
          <w:p>
            <w:pPr>
              <w:spacing w:after="0"/>
              <w:jc w:val="left"/>
            </w:pPr>
            <w:r>
              <w:rPr>
                <w:rFonts w:ascii="Calibri" w:hAnsi="Calibri"/>
                <w:b w:val="0"/>
                <w:i w:val="0"/>
                <w:color w:val="1B2A32"/>
                <w:sz w:val="17"/>
              </w:rPr>
              <w:t>F-L07 OTS; F-L11 Escrow</w:t>
            </w:r>
          </w:p>
        </w:tc>
      </w:tr>
      <w:tr>
        <w:trPr>
          <w:trHeight w:val="0"/>
        </w:trPr>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Cheque / criminal</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Sequence NI-138 compounding / Lok Adalat</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F-L08 NI-138 memo</w:t>
            </w:r>
          </w:p>
        </w:tc>
      </w:tr>
      <w:tr>
        <w:trPr>
          <w:trHeight w:val="0"/>
        </w:trPr>
        <w:tc>
          <w:tcPr>
            <w:tcW w:type="dxa" w:w="1521"/>
            <w:tcMar>
              <w:top w:w="60" w:type="dxa"/>
              <w:bottom w:w="60" w:type="dxa"/>
              <w:start w:w="110" w:type="dxa"/>
              <w:end w:w="110" w:type="dxa"/>
            </w:tcMar>
          </w:tcPr>
          <w:p>
            <w:pPr>
              <w:spacing w:after="0"/>
              <w:jc w:val="left"/>
            </w:pPr>
            <w:r>
              <w:rPr>
                <w:rFonts w:ascii="Calibri" w:hAnsi="Calibri"/>
                <w:b w:val="0"/>
                <w:i w:val="0"/>
                <w:color w:val="1B2A32"/>
                <w:sz w:val="17"/>
              </w:rPr>
              <w:t>Closure</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Release escrow on No-Dues; update credit bureau; issue NOC</w:t>
            </w:r>
          </w:p>
        </w:tc>
        <w:tc>
          <w:tcPr>
            <w:tcW w:type="dxa" w:w="2281"/>
            <w:tcMar>
              <w:top w:w="60" w:type="dxa"/>
              <w:bottom w:w="60" w:type="dxa"/>
              <w:start w:w="110" w:type="dxa"/>
              <w:end w:w="110" w:type="dxa"/>
            </w:tcMar>
          </w:tcPr>
          <w:p>
            <w:pPr>
              <w:spacing w:after="0"/>
              <w:jc w:val="left"/>
            </w:pPr>
            <w:r>
              <w:rPr>
                <w:rFonts w:ascii="Calibri" w:hAnsi="Calibri"/>
                <w:b w:val="0"/>
                <w:i w:val="0"/>
                <w:color w:val="1B2A32"/>
                <w:sz w:val="17"/>
              </w:rPr>
              <w:t>F-L15 Enforcement; F-L16 Closure</w:t>
            </w:r>
          </w:p>
        </w:tc>
      </w:tr>
    </w:tbl>
    <w:p>
      <w:pPr>
        <w:spacing w:after="80"/>
      </w:pPr>
    </w:p>
    <w:p>
      <w:pPr>
        <w:spacing w:before="20" w:after="200"/>
        <w:jc w:val="center"/>
      </w:pPr>
      <w:r>
        <w:rPr>
          <w:rFonts w:ascii="Calibri" w:hAnsi="Calibri"/>
          <w:b w:val="0"/>
          <w:i/>
          <w:color w:val="556168"/>
          <w:sz w:val="17"/>
        </w:rPr>
        <w:t>Table 4 — Case-manager operating rhythm.</w:t>
      </w: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 xml:space="preserve">The case manager must protect the borrower from coercion and give </w:t>
            </w:r>
            <w:r>
              <w:rPr>
                <w:rFonts w:ascii="Calibri" w:hAnsi="Calibri"/>
                <w:b/>
                <w:i w:val="0"/>
                <w:color w:val="1B2A32"/>
                <w:sz w:val="20"/>
              </w:rPr>
              <w:t>no legal advice</w:t>
            </w:r>
            <w:r>
              <w:rPr>
                <w:rFonts w:ascii="Calibri" w:hAnsi="Calibri"/>
                <w:b w:val="0"/>
                <w:i w:val="0"/>
                <w:color w:val="1B2A32"/>
                <w:sz w:val="20"/>
              </w:rPr>
              <w:t xml:space="preserve">, and must correctly </w:t>
            </w:r>
            <w:r>
              <w:rPr>
                <w:rFonts w:ascii="Calibri" w:hAnsi="Calibri"/>
                <w:b/>
                <w:i w:val="0"/>
                <w:color w:val="1B2A32"/>
                <w:sz w:val="20"/>
              </w:rPr>
              <w:t>route special-forum matters</w:t>
            </w:r>
            <w:r>
              <w:rPr>
                <w:rFonts w:ascii="Calibri" w:hAnsi="Calibri"/>
                <w:b w:val="0"/>
                <w:i w:val="0"/>
                <w:color w:val="1B2A32"/>
                <w:sz w:val="20"/>
              </w:rPr>
              <w:t xml:space="preserve"> (SARFAESI/DRT, Ombudsman) rather than purporting to resolve them.</w:t>
            </w:r>
          </w:p>
        </w:tc>
      </w:tr>
    </w:tbl>
    <w:p>
      <w:pPr>
        <w:spacing w:after="120"/>
      </w:pPr>
    </w:p>
    <w:p>
      <w:pPr>
        <w:keepNext/>
        <w:spacing w:before="320" w:after="140"/>
        <w:pBdr>
          <w:bottom w:val="single" w:sz="12" w:space="3" w:color="C6A15B"/>
        </w:pBdr>
      </w:pPr>
      <w:r>
        <w:rPr>
          <w:rFonts w:ascii="Calibri" w:hAnsi="Calibri"/>
          <w:b/>
          <w:i w:val="0"/>
          <w:color w:val="123B4F"/>
          <w:sz w:val="34"/>
        </w:rPr>
        <w:t>20.  Time-Bound Procedure &amp; Service Levels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4372"/>
            <w:shd w:val="clear" w:color="auto" w:fill="123B4F"/>
            <w:tcMar>
              <w:top w:w="60" w:type="dxa"/>
              <w:bottom w:w="60" w:type="dxa"/>
              <w:start w:w="110" w:type="dxa"/>
              <w:end w:w="110" w:type="dxa"/>
            </w:tcMar>
          </w:tcPr>
          <w:p>
            <w:pPr>
              <w:spacing w:after="0"/>
            </w:pPr>
            <w:r>
              <w:rPr>
                <w:rFonts w:ascii="Calibri" w:hAnsi="Calibri"/>
                <w:b/>
                <w:i w:val="0"/>
                <w:color w:val="FFFFFF"/>
                <w:sz w:val="18"/>
              </w:rPr>
              <w:t>Milestone</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8"/>
              </w:rPr>
              <w:t>Target</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8"/>
              </w:rPr>
              <w:t>Basis</w:t>
            </w:r>
          </w:p>
        </w:tc>
      </w:tr>
      <w:tr>
        <w:trPr>
          <w:trHeight w:val="0"/>
        </w:trPr>
        <w:tc>
          <w:tcPr>
            <w:tcW w:type="dxa" w:w="4372"/>
            <w:tcMar>
              <w:top w:w="60" w:type="dxa"/>
              <w:bottom w:w="60" w:type="dxa"/>
              <w:start w:w="110" w:type="dxa"/>
              <w:end w:w="110" w:type="dxa"/>
            </w:tcMar>
          </w:tcPr>
          <w:p>
            <w:pPr>
              <w:spacing w:after="0"/>
              <w:jc w:val="left"/>
            </w:pPr>
            <w:r>
              <w:rPr>
                <w:rFonts w:ascii="Calibri" w:hAnsi="Calibri"/>
                <w:b w:val="0"/>
                <w:i w:val="0"/>
                <w:color w:val="1B2A32"/>
                <w:sz w:val="18"/>
              </w:rPr>
              <w:t>Case registration after complete filing</w:t>
            </w:r>
          </w:p>
        </w:tc>
        <w:tc>
          <w:tcPr>
            <w:tcW w:type="dxa" w:w="2661"/>
            <w:tcMar>
              <w:top w:w="60" w:type="dxa"/>
              <w:bottom w:w="60" w:type="dxa"/>
              <w:start w:w="110" w:type="dxa"/>
              <w:end w:w="110" w:type="dxa"/>
            </w:tcMar>
          </w:tcPr>
          <w:p>
            <w:pPr>
              <w:spacing w:after="0"/>
              <w:jc w:val="left"/>
            </w:pPr>
            <w:r>
              <w:rPr>
                <w:rFonts w:ascii="Calibri" w:hAnsi="Calibri"/>
                <w:b w:val="0"/>
                <w:i w:val="0"/>
                <w:color w:val="1B2A32"/>
                <w:sz w:val="18"/>
              </w:rPr>
              <w:t>1–2 working days</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Equator SLA</w:t>
            </w:r>
          </w:p>
        </w:tc>
      </w:tr>
      <w:tr>
        <w:trPr>
          <w:trHeight w:val="0"/>
        </w:trPr>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Notice served on the other party</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 3 working days</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Equator SLA</w:t>
            </w:r>
          </w:p>
        </w:tc>
      </w:tr>
      <w:tr>
        <w:trPr>
          <w:trHeight w:val="0"/>
        </w:trPr>
        <w:tc>
          <w:tcPr>
            <w:tcW w:type="dxa" w:w="4372"/>
            <w:tcMar>
              <w:top w:w="60" w:type="dxa"/>
              <w:bottom w:w="60" w:type="dxa"/>
              <w:start w:w="110" w:type="dxa"/>
              <w:end w:w="110" w:type="dxa"/>
            </w:tcMar>
          </w:tcPr>
          <w:p>
            <w:pPr>
              <w:spacing w:after="0"/>
              <w:jc w:val="left"/>
            </w:pPr>
            <w:r>
              <w:rPr>
                <w:rFonts w:ascii="Calibri" w:hAnsi="Calibri"/>
                <w:b w:val="0"/>
                <w:i w:val="0"/>
                <w:color w:val="1B2A32"/>
                <w:sz w:val="18"/>
              </w:rPr>
              <w:t>RE grievance window (Ombudsman route)</w:t>
            </w:r>
          </w:p>
        </w:tc>
        <w:tc>
          <w:tcPr>
            <w:tcW w:type="dxa" w:w="2661"/>
            <w:tcMar>
              <w:top w:w="60" w:type="dxa"/>
              <w:bottom w:w="60" w:type="dxa"/>
              <w:start w:w="110" w:type="dxa"/>
              <w:end w:w="110" w:type="dxa"/>
            </w:tcMar>
          </w:tcPr>
          <w:p>
            <w:pPr>
              <w:spacing w:after="0"/>
              <w:jc w:val="left"/>
            </w:pPr>
            <w:r>
              <w:rPr>
                <w:rFonts w:ascii="Calibri" w:hAnsi="Calibri"/>
                <w:b w:val="0"/>
                <w:i w:val="0"/>
                <w:color w:val="1B2A32"/>
                <w:sz w:val="18"/>
              </w:rPr>
              <w:t>30 days</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RBI Ombudsman Scheme</w:t>
            </w:r>
          </w:p>
        </w:tc>
      </w:tr>
      <w:tr>
        <w:trPr>
          <w:trHeight w:val="0"/>
        </w:trPr>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First conciliation/mediation session</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 14 days of appointment</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Equator SLA</w:t>
            </w:r>
          </w:p>
        </w:tc>
      </w:tr>
      <w:tr>
        <w:trPr>
          <w:trHeight w:val="0"/>
        </w:trPr>
        <w:tc>
          <w:tcPr>
            <w:tcW w:type="dxa" w:w="4372"/>
            <w:tcMar>
              <w:top w:w="60" w:type="dxa"/>
              <w:bottom w:w="60" w:type="dxa"/>
              <w:start w:w="110" w:type="dxa"/>
              <w:end w:w="110" w:type="dxa"/>
            </w:tcMar>
          </w:tcPr>
          <w:p>
            <w:pPr>
              <w:spacing w:after="0"/>
              <w:jc w:val="left"/>
            </w:pPr>
            <w:r>
              <w:rPr>
                <w:rFonts w:ascii="Calibri" w:hAnsi="Calibri"/>
                <w:b w:val="0"/>
                <w:i w:val="0"/>
                <w:color w:val="1B2A32"/>
                <w:sz w:val="18"/>
              </w:rPr>
              <w:t>Settlement / OTS</w:t>
            </w:r>
          </w:p>
        </w:tc>
        <w:tc>
          <w:tcPr>
            <w:tcW w:type="dxa" w:w="2661"/>
            <w:tcMar>
              <w:top w:w="60" w:type="dxa"/>
              <w:bottom w:w="60" w:type="dxa"/>
              <w:start w:w="110" w:type="dxa"/>
              <w:end w:w="110" w:type="dxa"/>
            </w:tcMar>
          </w:tcPr>
          <w:p>
            <w:pPr>
              <w:spacing w:after="0"/>
              <w:jc w:val="left"/>
            </w:pPr>
            <w:r>
              <w:rPr>
                <w:rFonts w:ascii="Calibri" w:hAnsi="Calibri"/>
                <w:b w:val="0"/>
                <w:i w:val="0"/>
                <w:color w:val="1B2A32"/>
                <w:sz w:val="18"/>
              </w:rPr>
              <w:t>Typically ≤ 60 days</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Equator SLA</w:t>
            </w:r>
          </w:p>
        </w:tc>
      </w:tr>
      <w:tr>
        <w:trPr>
          <w:trHeight w:val="0"/>
        </w:trPr>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Mediation completion</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Up to 120 days (+60)</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Mediation Act, 2023</w:t>
            </w:r>
          </w:p>
        </w:tc>
      </w:tr>
      <w:tr>
        <w:trPr>
          <w:trHeight w:val="0"/>
        </w:trPr>
        <w:tc>
          <w:tcPr>
            <w:tcW w:type="dxa" w:w="4372"/>
            <w:tcMar>
              <w:top w:w="60" w:type="dxa"/>
              <w:bottom w:w="60" w:type="dxa"/>
              <w:start w:w="110" w:type="dxa"/>
              <w:end w:w="110" w:type="dxa"/>
            </w:tcMar>
          </w:tcPr>
          <w:p>
            <w:pPr>
              <w:spacing w:after="0"/>
              <w:jc w:val="left"/>
            </w:pPr>
            <w:r>
              <w:rPr>
                <w:rFonts w:ascii="Calibri" w:hAnsi="Calibri"/>
                <w:b w:val="0"/>
                <w:i w:val="0"/>
                <w:color w:val="1B2A32"/>
                <w:sz w:val="18"/>
              </w:rPr>
              <w:t>NI-138 compounding / Lok Adalat</w:t>
            </w:r>
          </w:p>
        </w:tc>
        <w:tc>
          <w:tcPr>
            <w:tcW w:type="dxa" w:w="2661"/>
            <w:tcMar>
              <w:top w:w="60" w:type="dxa"/>
              <w:bottom w:w="60" w:type="dxa"/>
              <w:start w:w="110" w:type="dxa"/>
              <w:end w:w="110" w:type="dxa"/>
            </w:tcMar>
          </w:tcPr>
          <w:p>
            <w:pPr>
              <w:spacing w:after="0"/>
              <w:jc w:val="left"/>
            </w:pPr>
            <w:r>
              <w:rPr>
                <w:rFonts w:ascii="Calibri" w:hAnsi="Calibri"/>
                <w:b w:val="0"/>
                <w:i w:val="0"/>
                <w:color w:val="1B2A32"/>
                <w:sz w:val="18"/>
              </w:rPr>
              <w:t>On next Lok Adalat / court date</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SC guidelines</w:t>
            </w:r>
          </w:p>
        </w:tc>
      </w:tr>
      <w:tr>
        <w:trPr>
          <w:trHeight w:val="0"/>
        </w:trPr>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Escrow release on No-Dues</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T+7 of NOC / condition</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Escrow instruction</w:t>
            </w:r>
          </w:p>
        </w:tc>
      </w:tr>
    </w:tbl>
    <w:p>
      <w:pPr>
        <w:spacing w:after="80"/>
      </w:pPr>
    </w:p>
    <w:p>
      <w:pPr>
        <w:spacing w:before="20" w:after="200"/>
        <w:jc w:val="center"/>
      </w:pPr>
      <w:r>
        <w:rPr>
          <w:rFonts w:ascii="Calibri" w:hAnsi="Calibri"/>
          <w:b w:val="0"/>
          <w:i/>
          <w:color w:val="556168"/>
          <w:sz w:val="17"/>
        </w:rPr>
        <w:t>Table 5 — Statutory limits and Equator service levels.</w:t>
      </w:r>
    </w:p>
    <w:p>
      <w:pPr>
        <w:spacing w:before="80" w:after="40"/>
        <w:jc w:val="center"/>
      </w:pPr>
      <w:r>
        <w:drawing>
          <wp:inline xmlns:a="http://schemas.openxmlformats.org/drawingml/2006/main" xmlns:pic="http://schemas.openxmlformats.org/drawingml/2006/picture">
            <wp:extent cx="5943600" cy="2165498"/>
            <wp:docPr id="8" name="Picture 8"/>
            <wp:cNvGraphicFramePr>
              <a:graphicFrameLocks noChangeAspect="1"/>
            </wp:cNvGraphicFramePr>
            <a:graphic>
              <a:graphicData uri="http://schemas.openxmlformats.org/drawingml/2006/picture">
                <pic:pic>
                  <pic:nvPicPr>
                    <pic:cNvPr id="0" name="fl09_timeline.png"/>
                    <pic:cNvPicPr/>
                  </pic:nvPicPr>
                  <pic:blipFill>
                    <a:blip r:embed="rId16"/>
                    <a:stretch>
                      <a:fillRect/>
                    </a:stretch>
                  </pic:blipFill>
                  <pic:spPr>
                    <a:xfrm>
                      <a:off x="0" y="0"/>
                      <a:ext cx="5943600" cy="2165498"/>
                    </a:xfrm>
                    <a:prstGeom prst="rect"/>
                  </pic:spPr>
                </pic:pic>
              </a:graphicData>
            </a:graphic>
          </wp:inline>
        </w:drawing>
      </w:r>
    </w:p>
    <w:p>
      <w:pPr>
        <w:spacing w:before="20" w:after="200"/>
        <w:jc w:val="center"/>
      </w:pPr>
      <w:r>
        <w:rPr>
          <w:rFonts w:ascii="Calibri" w:hAnsi="Calibri"/>
          <w:b w:val="0"/>
          <w:i/>
          <w:color w:val="556168"/>
          <w:sz w:val="17"/>
        </w:rPr>
        <w:t>Figure 8 — Indicative time-bound tracks for financial &amp; loan disputes.</w:t>
      </w:r>
    </w:p>
    <w:p>
      <w:pPr>
        <w:keepNext/>
        <w:spacing w:before="320" w:after="140"/>
        <w:pBdr>
          <w:bottom w:val="single" w:sz="12" w:space="3" w:color="C6A15B"/>
        </w:pBdr>
      </w:pPr>
      <w:r>
        <w:rPr>
          <w:rFonts w:ascii="Calibri" w:hAnsi="Calibri"/>
          <w:b/>
          <w:i w:val="0"/>
          <w:color w:val="123B4F"/>
          <w:sz w:val="34"/>
        </w:rPr>
        <w:t>21.  Settlement, OTS &amp; Consent Award</w:t>
      </w:r>
    </w:p>
    <w:p>
      <w:pPr>
        <w:spacing w:after="140"/>
        <w:jc w:val="both"/>
      </w:pPr>
      <w:r>
        <w:rPr>
          <w:rFonts w:ascii="Calibri" w:hAnsi="Calibri"/>
          <w:b w:val="0"/>
          <w:i w:val="0"/>
          <w:color w:val="1B2A32"/>
          <w:sz w:val="21"/>
        </w:rPr>
        <w:t xml:space="preserve">The resolution is recorded in the right instrument: a </w:t>
      </w:r>
      <w:r>
        <w:rPr>
          <w:rFonts w:ascii="Calibri" w:hAnsi="Calibri"/>
          <w:b/>
          <w:i w:val="0"/>
          <w:color w:val="1B2A32"/>
          <w:sz w:val="21"/>
        </w:rPr>
        <w:t>one-time settlement / Mediated Settlement Agreement</w:t>
      </w:r>
      <w:r>
        <w:rPr>
          <w:rFonts w:ascii="Calibri" w:hAnsi="Calibri"/>
          <w:b w:val="0"/>
          <w:i w:val="0"/>
          <w:color w:val="1B2A32"/>
          <w:sz w:val="21"/>
        </w:rPr>
        <w:t xml:space="preserve"> (enforceable as a decree, s.27); a </w:t>
      </w:r>
      <w:r>
        <w:rPr>
          <w:rFonts w:ascii="Calibri" w:hAnsi="Calibri"/>
          <w:b/>
          <w:i w:val="0"/>
          <w:color w:val="1B2A32"/>
          <w:sz w:val="21"/>
        </w:rPr>
        <w:t>Lok Adalat award</w:t>
      </w:r>
      <w:r>
        <w:rPr>
          <w:rFonts w:ascii="Calibri" w:hAnsi="Calibri"/>
          <w:b w:val="0"/>
          <w:i w:val="0"/>
          <w:color w:val="1B2A32"/>
          <w:sz w:val="21"/>
        </w:rPr>
        <w:t xml:space="preserve"> (a final civil-court decree) for cheque-bounce and recovery matters; or, where arbitrated, a </w:t>
      </w:r>
      <w:r>
        <w:rPr>
          <w:rFonts w:ascii="Calibri" w:hAnsi="Calibri"/>
          <w:b/>
          <w:i w:val="0"/>
          <w:color w:val="1B2A32"/>
          <w:sz w:val="21"/>
        </w:rPr>
        <w:t>consent award</w:t>
      </w:r>
      <w:r>
        <w:rPr>
          <w:rFonts w:ascii="Calibri" w:hAnsi="Calibri"/>
          <w:b w:val="0"/>
          <w:i w:val="0"/>
          <w:color w:val="1B2A32"/>
          <w:sz w:val="21"/>
        </w:rPr>
        <w:t xml:space="preserve"> (s.30) enforceable as a decree (s.36). The instrument records the settlement amount, any waiver, the schedule, the release of security or cheque, the </w:t>
      </w:r>
      <w:r>
        <w:rPr>
          <w:rFonts w:ascii="Calibri" w:hAnsi="Calibri"/>
          <w:b/>
          <w:i w:val="0"/>
          <w:color w:val="1B2A32"/>
          <w:sz w:val="21"/>
        </w:rPr>
        <w:t>No-Dues/NOC</w:t>
      </w:r>
      <w:r>
        <w:rPr>
          <w:rFonts w:ascii="Calibri" w:hAnsi="Calibri"/>
          <w:b w:val="0"/>
          <w:i w:val="0"/>
          <w:color w:val="1B2A32"/>
          <w:sz w:val="21"/>
        </w:rPr>
        <w:t xml:space="preserve">, and the </w:t>
      </w:r>
      <w:r>
        <w:rPr>
          <w:rFonts w:ascii="Calibri" w:hAnsi="Calibri"/>
          <w:b/>
          <w:i w:val="0"/>
          <w:color w:val="1B2A32"/>
          <w:sz w:val="21"/>
        </w:rPr>
        <w:t>credit-bureau correction</w:t>
      </w:r>
      <w:r>
        <w:rPr>
          <w:rFonts w:ascii="Calibri" w:hAnsi="Calibri"/>
          <w:b w:val="0"/>
          <w:i w:val="0"/>
          <w:color w:val="1B2A32"/>
          <w:sz w:val="21"/>
        </w:rPr>
        <w:t xml:space="preserve"> the lender will make on closure.</w:t>
      </w:r>
    </w:p>
    <w:p>
      <w:pPr>
        <w:keepNext/>
        <w:spacing w:before="320" w:after="140"/>
        <w:pBdr>
          <w:bottom w:val="single" w:sz="12" w:space="3" w:color="C6A15B"/>
        </w:pBdr>
      </w:pPr>
      <w:r>
        <w:rPr>
          <w:rFonts w:ascii="Calibri" w:hAnsi="Calibri"/>
          <w:b/>
          <w:i w:val="0"/>
          <w:color w:val="123B4F"/>
          <w:sz w:val="34"/>
        </w:rPr>
        <w:t>22.  Enforcement Support</w:t>
      </w:r>
    </w:p>
    <w:p>
      <w:pPr>
        <w:spacing w:after="140"/>
        <w:jc w:val="both"/>
      </w:pPr>
      <w:r>
        <w:rPr>
          <w:rFonts w:ascii="Calibri" w:hAnsi="Calibri"/>
          <w:b w:val="0"/>
          <w:i w:val="0"/>
          <w:color w:val="1B2A32"/>
          <w:sz w:val="21"/>
        </w:rPr>
        <w:t xml:space="preserve">Equator supports realisation: taking the settlement to a </w:t>
      </w:r>
      <w:r>
        <w:rPr>
          <w:rFonts w:ascii="Calibri" w:hAnsi="Calibri"/>
          <w:b/>
          <w:i w:val="0"/>
          <w:color w:val="1B2A32"/>
          <w:sz w:val="21"/>
        </w:rPr>
        <w:t>Lok Adalat</w:t>
      </w:r>
      <w:r>
        <w:rPr>
          <w:rFonts w:ascii="Calibri" w:hAnsi="Calibri"/>
          <w:b w:val="0"/>
          <w:i w:val="0"/>
          <w:color w:val="1B2A32"/>
          <w:sz w:val="21"/>
        </w:rPr>
        <w:t xml:space="preserve"> or registering the </w:t>
      </w:r>
      <w:r>
        <w:rPr>
          <w:rFonts w:ascii="Calibri" w:hAnsi="Calibri"/>
          <w:b/>
          <w:i w:val="0"/>
          <w:color w:val="1B2A32"/>
          <w:sz w:val="21"/>
        </w:rPr>
        <w:t>MSA</w:t>
      </w:r>
      <w:r>
        <w:rPr>
          <w:rFonts w:ascii="Calibri" w:hAnsi="Calibri"/>
          <w:b w:val="0"/>
          <w:i w:val="0"/>
          <w:color w:val="1B2A32"/>
          <w:sz w:val="21"/>
        </w:rPr>
        <w:t xml:space="preserve">; coordinating </w:t>
      </w:r>
      <w:r>
        <w:rPr>
          <w:rFonts w:ascii="Calibri" w:hAnsi="Calibri"/>
          <w:b/>
          <w:i w:val="0"/>
          <w:color w:val="1B2A32"/>
          <w:sz w:val="21"/>
        </w:rPr>
        <w:t>NI-138 compounding</w:t>
      </w:r>
      <w:r>
        <w:rPr>
          <w:rFonts w:ascii="Calibri" w:hAnsi="Calibri"/>
          <w:b w:val="0"/>
          <w:i w:val="0"/>
          <w:color w:val="1B2A32"/>
          <w:sz w:val="21"/>
        </w:rPr>
        <w:t xml:space="preserve">; enforcing an </w:t>
      </w:r>
      <w:r>
        <w:rPr>
          <w:rFonts w:ascii="Calibri" w:hAnsi="Calibri"/>
          <w:b/>
          <w:i w:val="0"/>
          <w:color w:val="1B2A32"/>
          <w:sz w:val="21"/>
        </w:rPr>
        <w:t>arbitral award</w:t>
      </w:r>
      <w:r>
        <w:rPr>
          <w:rFonts w:ascii="Calibri" w:hAnsi="Calibri"/>
          <w:b w:val="0"/>
          <w:i w:val="0"/>
          <w:color w:val="1B2A32"/>
          <w:sz w:val="21"/>
        </w:rPr>
        <w:t xml:space="preserve"> (s.36); and releasing </w:t>
      </w:r>
      <w:r>
        <w:rPr>
          <w:rFonts w:ascii="Calibri" w:hAnsi="Calibri"/>
          <w:b/>
          <w:i w:val="0"/>
          <w:color w:val="1B2A32"/>
          <w:sz w:val="21"/>
        </w:rPr>
        <w:t>escrow</w:t>
      </w:r>
      <w:r>
        <w:rPr>
          <w:rFonts w:ascii="Calibri" w:hAnsi="Calibri"/>
          <w:b w:val="0"/>
          <w:i w:val="0"/>
          <w:color w:val="1B2A32"/>
          <w:sz w:val="21"/>
        </w:rPr>
        <w:t xml:space="preserve"> against the No-Dues/NOC. It also ensures the lender updates the </w:t>
      </w:r>
      <w:r>
        <w:rPr>
          <w:rFonts w:ascii="Calibri" w:hAnsi="Calibri"/>
          <w:b/>
          <w:i w:val="0"/>
          <w:color w:val="1B2A32"/>
          <w:sz w:val="21"/>
        </w:rPr>
        <w:t>credit bureau</w:t>
      </w:r>
      <w:r>
        <w:rPr>
          <w:rFonts w:ascii="Calibri" w:hAnsi="Calibri"/>
          <w:b w:val="0"/>
          <w:i w:val="0"/>
          <w:color w:val="1B2A32"/>
          <w:sz w:val="21"/>
        </w:rPr>
        <w:t xml:space="preserve"> (CIBIL/CRIF/Experian) so the borrower's record reflects the closed/settled status.</w:t>
      </w:r>
    </w:p>
    <w:p>
      <w:pPr>
        <w:keepNext/>
        <w:spacing w:before="320" w:after="140"/>
        <w:pBdr>
          <w:bottom w:val="single" w:sz="12" w:space="3" w:color="C6A15B"/>
        </w:pBdr>
      </w:pPr>
      <w:r>
        <w:rPr>
          <w:rFonts w:ascii="Calibri" w:hAnsi="Calibri"/>
          <w:b/>
          <w:i w:val="0"/>
          <w:color w:val="123B4F"/>
          <w:sz w:val="34"/>
        </w:rPr>
        <w:t>23.  The Escrow Mechanism</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A neutral holding account for the settlement money. The borrower deposits the OTS amount; the escrow agent releases it to the lender </w:t>
            </w:r>
            <w:r>
              <w:rPr>
                <w:rFonts w:ascii="Calibri" w:hAnsi="Calibri"/>
                <w:b/>
                <w:i w:val="0"/>
                <w:color w:val="1B2A32"/>
                <w:sz w:val="20"/>
              </w:rPr>
              <w:t>only against a No-Dues/NOC</w:t>
            </w:r>
            <w:r>
              <w:rPr>
                <w:rFonts w:ascii="Calibri" w:hAnsi="Calibri"/>
                <w:b w:val="0"/>
                <w:i w:val="0"/>
                <w:color w:val="1B2A32"/>
                <w:sz w:val="20"/>
              </w:rPr>
              <w:t xml:space="preserve"> and the return of any security/cheque — so the borrower doesn't pay and remain 'in default', and the lender is assured of payment.</w:t>
            </w:r>
          </w:p>
        </w:tc>
      </w:tr>
    </w:tbl>
    <w:p>
      <w:pPr>
        <w:spacing w:after="120"/>
      </w:pPr>
    </w:p>
    <w:p>
      <w:pPr>
        <w:spacing w:after="140"/>
        <w:jc w:val="both"/>
      </w:pPr>
      <w:r>
        <w:rPr>
          <w:rFonts w:ascii="Calibri" w:hAnsi="Calibri"/>
          <w:b w:val="0"/>
          <w:i w:val="0"/>
          <w:color w:val="1B2A32"/>
          <w:sz w:val="21"/>
        </w:rPr>
        <w:t xml:space="preserve">Escrow solves the classic borrower–lender trust gap. Equator arranges a </w:t>
      </w:r>
      <w:r>
        <w:rPr>
          <w:rFonts w:ascii="Calibri" w:hAnsi="Calibri"/>
          <w:b/>
          <w:i w:val="0"/>
          <w:color w:val="1B2A32"/>
          <w:sz w:val="21"/>
        </w:rPr>
        <w:t>tripartite escrow</w:t>
      </w:r>
      <w:r>
        <w:rPr>
          <w:rFonts w:ascii="Calibri" w:hAnsi="Calibri"/>
          <w:b w:val="0"/>
          <w:i w:val="0"/>
          <w:color w:val="1B2A32"/>
          <w:sz w:val="21"/>
        </w:rPr>
        <w:t xml:space="preserve"> with a regulated bank as agent (Indian Contract Act; KYC/PMLA-compliant). The borrower deposits the settlement sum (one-shot or instalments); release is </w:t>
      </w:r>
      <w:r>
        <w:rPr>
          <w:rFonts w:ascii="Calibri" w:hAnsi="Calibri"/>
          <w:b/>
          <w:i w:val="0"/>
          <w:color w:val="1B2A32"/>
          <w:sz w:val="21"/>
        </w:rPr>
        <w:t>conditional</w:t>
      </w:r>
      <w:r>
        <w:rPr>
          <w:rFonts w:ascii="Calibri" w:hAnsi="Calibri"/>
          <w:b w:val="0"/>
          <w:i w:val="0"/>
          <w:color w:val="1B2A32"/>
          <w:sz w:val="21"/>
        </w:rPr>
        <w:t xml:space="preserve"> on the lender issuing the </w:t>
      </w:r>
      <w:r>
        <w:rPr>
          <w:rFonts w:ascii="Calibri" w:hAnsi="Calibri"/>
          <w:b/>
          <w:i w:val="0"/>
          <w:color w:val="1B2A32"/>
          <w:sz w:val="21"/>
        </w:rPr>
        <w:t>No-Dues/NOC</w:t>
      </w:r>
      <w:r>
        <w:rPr>
          <w:rFonts w:ascii="Calibri" w:hAnsi="Calibri"/>
          <w:b w:val="0"/>
          <w:i w:val="0"/>
          <w:color w:val="1B2A32"/>
          <w:sz w:val="21"/>
        </w:rPr>
        <w:t>, returning the original documents/security and the dishonoured cheque, and updating the credit bureau. Each movement is receipted and audit-logged, with a defined fallback if a condition is not met.</w:t>
      </w:r>
    </w:p>
    <w:p>
      <w:pPr>
        <w:spacing w:before="80" w:after="40"/>
        <w:jc w:val="center"/>
      </w:pPr>
      <w:r>
        <w:drawing>
          <wp:inline xmlns:a="http://schemas.openxmlformats.org/drawingml/2006/main" xmlns:pic="http://schemas.openxmlformats.org/drawingml/2006/picture">
            <wp:extent cx="4023360" cy="5175644"/>
            <wp:docPr id="9" name="Picture 9"/>
            <wp:cNvGraphicFramePr>
              <a:graphicFrameLocks noChangeAspect="1"/>
            </wp:cNvGraphicFramePr>
            <a:graphic>
              <a:graphicData uri="http://schemas.openxmlformats.org/drawingml/2006/picture">
                <pic:pic>
                  <pic:nvPicPr>
                    <pic:cNvPr id="0" name="fl05_ots_escrow.png"/>
                    <pic:cNvPicPr/>
                  </pic:nvPicPr>
                  <pic:blipFill>
                    <a:blip r:embed="rId13"/>
                    <a:stretch>
                      <a:fillRect/>
                    </a:stretch>
                  </pic:blipFill>
                  <pic:spPr>
                    <a:xfrm>
                      <a:off x="0" y="0"/>
                      <a:ext cx="4023360" cy="5175644"/>
                    </a:xfrm>
                    <a:prstGeom prst="rect"/>
                  </pic:spPr>
                </pic:pic>
              </a:graphicData>
            </a:graphic>
          </wp:inline>
        </w:drawing>
      </w:r>
    </w:p>
    <w:p>
      <w:pPr>
        <w:spacing w:before="20" w:after="200"/>
        <w:jc w:val="center"/>
      </w:pPr>
      <w:r>
        <w:rPr>
          <w:rFonts w:ascii="Calibri" w:hAnsi="Calibri"/>
          <w:b w:val="0"/>
          <w:i/>
          <w:color w:val="556168"/>
          <w:sz w:val="17"/>
        </w:rPr>
        <w:t>Figure 9 — Escrow releases the settlement against the No-Dues/NOC.</w:t>
      </w:r>
    </w:p>
    <w:p>
      <w:pPr>
        <w:keepNext/>
        <w:spacing w:before="320" w:after="140"/>
        <w:pBdr>
          <w:bottom w:val="single" w:sz="12" w:space="3" w:color="C6A15B"/>
        </w:pBdr>
      </w:pPr>
      <w:r>
        <w:rPr>
          <w:rFonts w:ascii="Calibri" w:hAnsi="Calibri"/>
          <w:b/>
          <w:i w:val="0"/>
          <w:color w:val="123B4F"/>
          <w:sz w:val="34"/>
        </w:rPr>
        <w:t>24.  Permutations &amp; Scenarios — the If / Then Logic</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3612"/>
            <w:shd w:val="clear" w:color="auto" w:fill="123B4F"/>
            <w:tcMar>
              <w:top w:w="60" w:type="dxa"/>
              <w:bottom w:w="60" w:type="dxa"/>
              <w:start w:w="110" w:type="dxa"/>
              <w:end w:w="110" w:type="dxa"/>
            </w:tcMar>
          </w:tcPr>
          <w:p>
            <w:pPr>
              <w:spacing w:after="0"/>
            </w:pPr>
            <w:r>
              <w:rPr>
                <w:rFonts w:ascii="Calibri" w:hAnsi="Calibri"/>
                <w:b/>
                <w:i w:val="0"/>
                <w:color w:val="FFFFFF"/>
                <w:sz w:val="17"/>
              </w:rPr>
              <w:t>If this circumstance…</w:t>
            </w:r>
          </w:p>
        </w:tc>
        <w:tc>
          <w:tcPr>
            <w:tcW w:type="dxa" w:w="5892"/>
            <w:shd w:val="clear" w:color="auto" w:fill="123B4F"/>
            <w:tcMar>
              <w:top w:w="60" w:type="dxa"/>
              <w:bottom w:w="60" w:type="dxa"/>
              <w:start w:w="110" w:type="dxa"/>
              <w:end w:w="110" w:type="dxa"/>
            </w:tcMar>
          </w:tcPr>
          <w:p>
            <w:pPr>
              <w:spacing w:after="0"/>
            </w:pPr>
            <w:r>
              <w:rPr>
                <w:rFonts w:ascii="Calibri" w:hAnsi="Calibri"/>
                <w:b/>
                <w:i w:val="0"/>
                <w:color w:val="FFFFFF"/>
                <w:sz w:val="17"/>
              </w:rPr>
              <w:t>…then Equator does this</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Bank/FI enforcing security (SARFAESI) / large DRT recovery</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Non-arbitrable special forum — guide to the DRT; mediate any settlement the parties want.</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Service-deficiency complaint vs a regulated entity</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Help escalate to the RE grievance officer and, after 30 days, the RBI Ombudsman; mediate the money dispute in parallel.</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Dishonoured cheque (s.138)</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Mediate; carry the settlement to compounding (s.147) or a Lok Adalat; release escrow on closure.</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Ordinary loan/contractual dispute (NBFC/fintech)</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Mediate to an OTS, or arbitrate if the agreement so provides.</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Recovery-agent harassment</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Treat as a grievance (escalate) AND mediate the underlying debt; protect the borrower.</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Digital-lending grievance (app loan/BNPL)</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Grievance to the nodal officer/Ombudsman; mediate charges/settlement; check KFS &amp; cooling-off.</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Wrong credit-bureau reporting</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Build the correction into the settlement; the lender updates the bureau on closure.</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Borrower is a consumer</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Consider the consumer commission (with mediation); or settle at Equator.</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Guarantor / co-borrower involved</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Join them; allocate liability and contribution in the settlement.</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Borrower can't pay in one shot</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Structure instalments with escrow security and a review mechanism.</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Lender needs board approval for OTS</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Sequence the settlement to the lender's compromise-settlement policy (RBI 2023).</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No settlement</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Issue a report; preserve the parties' remedies (court/DRT/Ombudsman/arbitration).</w:t>
            </w:r>
          </w:p>
        </w:tc>
      </w:tr>
    </w:tbl>
    <w:p>
      <w:pPr>
        <w:spacing w:after="80"/>
      </w:pPr>
    </w:p>
    <w:p>
      <w:pPr>
        <w:spacing w:before="20" w:after="200"/>
        <w:jc w:val="center"/>
      </w:pPr>
      <w:r>
        <w:rPr>
          <w:rFonts w:ascii="Calibri" w:hAnsi="Calibri"/>
          <w:b w:val="0"/>
          <w:i/>
          <w:color w:val="556168"/>
          <w:sz w:val="17"/>
        </w:rPr>
        <w:t>Table 6 — Principal branch conditions and Equator's programmed response.</w:t>
      </w:r>
    </w:p>
    <w:p>
      <w:r>
        <w:br w:type="page"/>
      </w:r>
    </w:p>
    <w:p>
      <w:pPr>
        <w:spacing w:before="600" w:after="40"/>
      </w:pPr>
      <w:r>
        <w:rPr>
          <w:rFonts w:ascii="Calibri" w:hAnsi="Calibri"/>
          <w:b/>
          <w:i w:val="0"/>
          <w:color w:val="C6A15B"/>
          <w:sz w:val="26"/>
        </w:rPr>
        <w:t>PART D</w:t>
      </w:r>
    </w:p>
    <w:p>
      <w:pPr>
        <w:spacing w:after="200"/>
        <w:pBdr>
          <w:bottom w:val="single" w:sz="18" w:space="3" w:color="1E7A8C"/>
        </w:pBdr>
      </w:pPr>
      <w:r>
        <w:rPr>
          <w:rFonts w:ascii="Calibri" w:hAnsi="Calibri"/>
          <w:b/>
          <w:i w:val="0"/>
          <w:color w:val="123B4F"/>
          <w:sz w:val="46"/>
        </w:rPr>
        <w:t>Governance, Commercials &amp; Operations</w:t>
      </w:r>
    </w:p>
    <w:p>
      <w:pPr>
        <w:keepNext/>
        <w:spacing w:before="320" w:after="140"/>
        <w:pBdr>
          <w:bottom w:val="single" w:sz="12" w:space="3" w:color="C6A15B"/>
        </w:pBdr>
      </w:pPr>
      <w:r>
        <w:rPr>
          <w:rFonts w:ascii="Calibri" w:hAnsi="Calibri"/>
          <w:b/>
          <w:i w:val="0"/>
          <w:color w:val="123B4F"/>
          <w:sz w:val="34"/>
        </w:rPr>
        <w:t>25.  Forms Register</w:t>
      </w:r>
    </w:p>
    <w:p>
      <w:pPr>
        <w:spacing w:after="140"/>
        <w:jc w:val="both"/>
      </w:pPr>
      <w:r>
        <w:rPr>
          <w:rFonts w:ascii="Calibri" w:hAnsi="Calibri"/>
          <w:b w:val="0"/>
          <w:i w:val="0"/>
          <w:color w:val="1B2A32"/>
          <w:sz w:val="21"/>
        </w:rPr>
        <w:t xml:space="preserve">All forms are reproduced in full in </w:t>
      </w:r>
      <w:r>
        <w:rPr>
          <w:rFonts w:ascii="Calibri" w:hAnsi="Calibri"/>
          <w:b/>
          <w:i w:val="0"/>
          <w:color w:val="1B2A32"/>
          <w:sz w:val="21"/>
        </w:rPr>
        <w:t>Part H</w:t>
      </w:r>
      <w:r>
        <w:rPr>
          <w:rFonts w:ascii="Calibri" w:hAnsi="Calibri"/>
          <w:b w:val="0"/>
          <w:i w:val="0"/>
          <w:color w:val="1B2A32"/>
          <w:sz w:val="21"/>
        </w:rPr>
        <w:t xml:space="preserve"> and delivered as individual documents in the archived Forms Pack folder. The Developer Workbook carries the field-level schema for each.</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950"/>
            <w:shd w:val="clear" w:color="auto" w:fill="123B4F"/>
            <w:tcMar>
              <w:top w:w="60" w:type="dxa"/>
              <w:bottom w:w="60" w:type="dxa"/>
              <w:start w:w="110" w:type="dxa"/>
              <w:end w:w="110" w:type="dxa"/>
            </w:tcMar>
          </w:tcPr>
          <w:p>
            <w:pPr>
              <w:spacing w:after="0"/>
            </w:pPr>
            <w:r>
              <w:rPr>
                <w:rFonts w:ascii="Calibri" w:hAnsi="Calibri"/>
                <w:b/>
                <w:i w:val="0"/>
                <w:color w:val="FFFFFF"/>
                <w:sz w:val="17"/>
              </w:rPr>
              <w:t>Ref</w:t>
            </w:r>
          </w:p>
        </w:tc>
        <w:tc>
          <w:tcPr>
            <w:tcW w:type="dxa" w:w="5512"/>
            <w:shd w:val="clear" w:color="auto" w:fill="123B4F"/>
            <w:tcMar>
              <w:top w:w="60" w:type="dxa"/>
              <w:bottom w:w="60" w:type="dxa"/>
              <w:start w:w="110" w:type="dxa"/>
              <w:end w:w="110" w:type="dxa"/>
            </w:tcMar>
          </w:tcPr>
          <w:p>
            <w:pPr>
              <w:spacing w:after="0"/>
            </w:pPr>
            <w:r>
              <w:rPr>
                <w:rFonts w:ascii="Calibri" w:hAnsi="Calibri"/>
                <w:b/>
                <w:i w:val="0"/>
                <w:color w:val="FFFFFF"/>
                <w:sz w:val="17"/>
              </w:rPr>
              <w:t>Form</w:t>
            </w:r>
          </w:p>
        </w:tc>
        <w:tc>
          <w:tcPr>
            <w:tcW w:type="dxa" w:w="3041"/>
            <w:shd w:val="clear" w:color="auto" w:fill="123B4F"/>
            <w:tcMar>
              <w:top w:w="60" w:type="dxa"/>
              <w:bottom w:w="60" w:type="dxa"/>
              <w:start w:w="110" w:type="dxa"/>
              <w:end w:w="110" w:type="dxa"/>
            </w:tcMar>
          </w:tcPr>
          <w:p>
            <w:pPr>
              <w:spacing w:after="0"/>
            </w:pPr>
            <w:r>
              <w:rPr>
                <w:rFonts w:ascii="Calibri" w:hAnsi="Calibri"/>
                <w:b/>
                <w:i w:val="0"/>
                <w:color w:val="FFFFFF"/>
                <w:sz w:val="17"/>
              </w:rPr>
              <w:t>Used at</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F-L01</w:t>
            </w:r>
          </w:p>
        </w:tc>
        <w:tc>
          <w:tcPr>
            <w:tcW w:type="dxa" w:w="5512"/>
            <w:tcMar>
              <w:top w:w="60" w:type="dxa"/>
              <w:bottom w:w="60" w:type="dxa"/>
              <w:start w:w="110" w:type="dxa"/>
              <w:end w:w="110" w:type="dxa"/>
            </w:tcMar>
          </w:tcPr>
          <w:p>
            <w:pPr>
              <w:spacing w:after="0"/>
              <w:jc w:val="left"/>
            </w:pPr>
            <w:r>
              <w:rPr>
                <w:rFonts w:ascii="Calibri" w:hAnsi="Calibri"/>
                <w:b w:val="0"/>
                <w:i w:val="0"/>
                <w:color w:val="1B2A32"/>
                <w:sz w:val="17"/>
              </w:rPr>
              <w:t>Onboarding, KYC/KYB &amp; DPDP Consent</w:t>
            </w:r>
          </w:p>
        </w:tc>
        <w:tc>
          <w:tcPr>
            <w:tcW w:type="dxa" w:w="3041"/>
            <w:tcMar>
              <w:top w:w="60" w:type="dxa"/>
              <w:bottom w:w="60" w:type="dxa"/>
              <w:start w:w="110" w:type="dxa"/>
              <w:end w:w="110" w:type="dxa"/>
            </w:tcMar>
          </w:tcPr>
          <w:p>
            <w:pPr>
              <w:spacing w:after="0"/>
              <w:jc w:val="left"/>
            </w:pPr>
            <w:r>
              <w:rPr>
                <w:rFonts w:ascii="Calibri" w:hAnsi="Calibri"/>
                <w:b w:val="0"/>
                <w:i w:val="0"/>
                <w:color w:val="1B2A32"/>
                <w:sz w:val="17"/>
              </w:rPr>
              <w:t>Registration</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F-L02</w:t>
            </w:r>
          </w:p>
        </w:tc>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Request for Resolution (Loan Dispute)</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Commencement</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F-L03</w:t>
            </w:r>
          </w:p>
        </w:tc>
        <w:tc>
          <w:tcPr>
            <w:tcW w:type="dxa" w:w="5512"/>
            <w:tcMar>
              <w:top w:w="60" w:type="dxa"/>
              <w:bottom w:w="60" w:type="dxa"/>
              <w:start w:w="110" w:type="dxa"/>
              <w:end w:w="110" w:type="dxa"/>
            </w:tcMar>
          </w:tcPr>
          <w:p>
            <w:pPr>
              <w:spacing w:after="0"/>
              <w:jc w:val="left"/>
            </w:pPr>
            <w:r>
              <w:rPr>
                <w:rFonts w:ascii="Calibri" w:hAnsi="Calibri"/>
                <w:b w:val="0"/>
                <w:i w:val="0"/>
                <w:color w:val="1B2A32"/>
                <w:sz w:val="17"/>
              </w:rPr>
              <w:t>Notice to the Other Party</w:t>
            </w:r>
          </w:p>
        </w:tc>
        <w:tc>
          <w:tcPr>
            <w:tcW w:type="dxa" w:w="3041"/>
            <w:tcMar>
              <w:top w:w="60" w:type="dxa"/>
              <w:bottom w:w="60" w:type="dxa"/>
              <w:start w:w="110" w:type="dxa"/>
              <w:end w:w="110" w:type="dxa"/>
            </w:tcMar>
          </w:tcPr>
          <w:p>
            <w:pPr>
              <w:spacing w:after="0"/>
              <w:jc w:val="left"/>
            </w:pPr>
            <w:r>
              <w:rPr>
                <w:rFonts w:ascii="Calibri" w:hAnsi="Calibri"/>
                <w:b w:val="0"/>
                <w:i w:val="0"/>
                <w:color w:val="1B2A32"/>
                <w:sz w:val="17"/>
              </w:rPr>
              <w:t>Notice</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F-L04</w:t>
            </w:r>
          </w:p>
        </w:tc>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Borrower Grievance / Complaint</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Grievance route</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F-L05</w:t>
            </w:r>
          </w:p>
        </w:tc>
        <w:tc>
          <w:tcPr>
            <w:tcW w:type="dxa" w:w="5512"/>
            <w:tcMar>
              <w:top w:w="60" w:type="dxa"/>
              <w:bottom w:w="60" w:type="dxa"/>
              <w:start w:w="110" w:type="dxa"/>
              <w:end w:w="110" w:type="dxa"/>
            </w:tcMar>
          </w:tcPr>
          <w:p>
            <w:pPr>
              <w:spacing w:after="0"/>
              <w:jc w:val="left"/>
            </w:pPr>
            <w:r>
              <w:rPr>
                <w:rFonts w:ascii="Calibri" w:hAnsi="Calibri"/>
                <w:b w:val="0"/>
                <w:i w:val="0"/>
                <w:color w:val="1B2A32"/>
                <w:sz w:val="17"/>
              </w:rPr>
              <w:t>Response</w:t>
            </w:r>
          </w:p>
        </w:tc>
        <w:tc>
          <w:tcPr>
            <w:tcW w:type="dxa" w:w="3041"/>
            <w:tcMar>
              <w:top w:w="60" w:type="dxa"/>
              <w:bottom w:w="60" w:type="dxa"/>
              <w:start w:w="110" w:type="dxa"/>
              <w:end w:w="110" w:type="dxa"/>
            </w:tcMar>
          </w:tcPr>
          <w:p>
            <w:pPr>
              <w:spacing w:after="0"/>
              <w:jc w:val="left"/>
            </w:pPr>
            <w:r>
              <w:rPr>
                <w:rFonts w:ascii="Calibri" w:hAnsi="Calibri"/>
                <w:b w:val="0"/>
                <w:i w:val="0"/>
                <w:color w:val="1B2A32"/>
                <w:sz w:val="17"/>
              </w:rPr>
              <w:t>Response</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F-L06</w:t>
            </w:r>
          </w:p>
        </w:tc>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Neutral Selection &amp; Disclosure</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Appointment</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F-L07</w:t>
            </w:r>
          </w:p>
        </w:tc>
        <w:tc>
          <w:tcPr>
            <w:tcW w:type="dxa" w:w="5512"/>
            <w:tcMar>
              <w:top w:w="60" w:type="dxa"/>
              <w:bottom w:w="60" w:type="dxa"/>
              <w:start w:w="110" w:type="dxa"/>
              <w:end w:w="110" w:type="dxa"/>
            </w:tcMar>
          </w:tcPr>
          <w:p>
            <w:pPr>
              <w:spacing w:after="0"/>
              <w:jc w:val="left"/>
            </w:pPr>
            <w:r>
              <w:rPr>
                <w:rFonts w:ascii="Calibri" w:hAnsi="Calibri"/>
                <w:b w:val="0"/>
                <w:i w:val="0"/>
                <w:color w:val="1B2A32"/>
                <w:sz w:val="17"/>
              </w:rPr>
              <w:t>One-Time Settlement (OTS) Agreement</w:t>
            </w:r>
          </w:p>
        </w:tc>
        <w:tc>
          <w:tcPr>
            <w:tcW w:type="dxa" w:w="3041"/>
            <w:tcMar>
              <w:top w:w="60" w:type="dxa"/>
              <w:bottom w:w="60" w:type="dxa"/>
              <w:start w:w="110" w:type="dxa"/>
              <w:end w:w="110" w:type="dxa"/>
            </w:tcMar>
          </w:tcPr>
          <w:p>
            <w:pPr>
              <w:spacing w:after="0"/>
              <w:jc w:val="left"/>
            </w:pPr>
            <w:r>
              <w:rPr>
                <w:rFonts w:ascii="Calibri" w:hAnsi="Calibri"/>
                <w:b w:val="0"/>
                <w:i w:val="0"/>
                <w:color w:val="1B2A32"/>
                <w:sz w:val="17"/>
              </w:rPr>
              <w:t>Settlement</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F-L08</w:t>
            </w:r>
          </w:p>
        </w:tc>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NI-138 Settlement &amp; Compounding Memorandum</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Cheque bounce</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F-L09</w:t>
            </w:r>
          </w:p>
        </w:tc>
        <w:tc>
          <w:tcPr>
            <w:tcW w:type="dxa" w:w="5512"/>
            <w:tcMar>
              <w:top w:w="60" w:type="dxa"/>
              <w:bottom w:w="60" w:type="dxa"/>
              <w:start w:w="110" w:type="dxa"/>
              <w:end w:w="110" w:type="dxa"/>
            </w:tcMar>
          </w:tcPr>
          <w:p>
            <w:pPr>
              <w:spacing w:after="0"/>
              <w:jc w:val="left"/>
            </w:pPr>
            <w:r>
              <w:rPr>
                <w:rFonts w:ascii="Calibri" w:hAnsi="Calibri"/>
                <w:b w:val="0"/>
                <w:i w:val="0"/>
                <w:color w:val="1B2A32"/>
                <w:sz w:val="17"/>
              </w:rPr>
              <w:t>Recovery-Agent Harassment Complaint</w:t>
            </w:r>
          </w:p>
        </w:tc>
        <w:tc>
          <w:tcPr>
            <w:tcW w:type="dxa" w:w="3041"/>
            <w:tcMar>
              <w:top w:w="60" w:type="dxa"/>
              <w:bottom w:w="60" w:type="dxa"/>
              <w:start w:w="110" w:type="dxa"/>
              <w:end w:w="110" w:type="dxa"/>
            </w:tcMar>
          </w:tcPr>
          <w:p>
            <w:pPr>
              <w:spacing w:after="0"/>
              <w:jc w:val="left"/>
            </w:pPr>
            <w:r>
              <w:rPr>
                <w:rFonts w:ascii="Calibri" w:hAnsi="Calibri"/>
                <w:b w:val="0"/>
                <w:i w:val="0"/>
                <w:color w:val="1B2A32"/>
                <w:sz w:val="17"/>
              </w:rPr>
              <w:t>Harassment</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F-L10</w:t>
            </w:r>
          </w:p>
        </w:tc>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Digital-Lending Grievance</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Digital lending</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F-L11</w:t>
            </w:r>
          </w:p>
        </w:tc>
        <w:tc>
          <w:tcPr>
            <w:tcW w:type="dxa" w:w="5512"/>
            <w:tcMar>
              <w:top w:w="60" w:type="dxa"/>
              <w:bottom w:w="60" w:type="dxa"/>
              <w:start w:w="110" w:type="dxa"/>
              <w:end w:w="110" w:type="dxa"/>
            </w:tcMar>
          </w:tcPr>
          <w:p>
            <w:pPr>
              <w:spacing w:after="0"/>
              <w:jc w:val="left"/>
            </w:pPr>
            <w:r>
              <w:rPr>
                <w:rFonts w:ascii="Calibri" w:hAnsi="Calibri"/>
                <w:b w:val="0"/>
                <w:i w:val="0"/>
                <w:color w:val="1B2A32"/>
                <w:sz w:val="17"/>
              </w:rPr>
              <w:t>Escrow Instruction &amp; Release Schedule</w:t>
            </w:r>
          </w:p>
        </w:tc>
        <w:tc>
          <w:tcPr>
            <w:tcW w:type="dxa" w:w="3041"/>
            <w:tcMar>
              <w:top w:w="60" w:type="dxa"/>
              <w:bottom w:w="60" w:type="dxa"/>
              <w:start w:w="110" w:type="dxa"/>
              <w:end w:w="110" w:type="dxa"/>
            </w:tcMar>
          </w:tcPr>
          <w:p>
            <w:pPr>
              <w:spacing w:after="0"/>
              <w:jc w:val="left"/>
            </w:pPr>
            <w:r>
              <w:rPr>
                <w:rFonts w:ascii="Calibri" w:hAnsi="Calibri"/>
                <w:b w:val="0"/>
                <w:i w:val="0"/>
                <w:color w:val="1B2A32"/>
                <w:sz w:val="17"/>
              </w:rPr>
              <w:t>Settlement</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F-L12</w:t>
            </w:r>
          </w:p>
        </w:tc>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Consent Award / Mediated Settlement Agreement</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Settlement</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F-L13</w:t>
            </w:r>
          </w:p>
        </w:tc>
        <w:tc>
          <w:tcPr>
            <w:tcW w:type="dxa" w:w="5512"/>
            <w:tcMar>
              <w:top w:w="60" w:type="dxa"/>
              <w:bottom w:w="60" w:type="dxa"/>
              <w:start w:w="110" w:type="dxa"/>
              <w:end w:w="110" w:type="dxa"/>
            </w:tcMar>
          </w:tcPr>
          <w:p>
            <w:pPr>
              <w:spacing w:after="0"/>
              <w:jc w:val="left"/>
            </w:pPr>
            <w:r>
              <w:rPr>
                <w:rFonts w:ascii="Calibri" w:hAnsi="Calibri"/>
                <w:b w:val="0"/>
                <w:i w:val="0"/>
                <w:color w:val="1B2A32"/>
                <w:sz w:val="17"/>
              </w:rPr>
              <w:t>Statement of Claim (Loan) — arbitration</w:t>
            </w:r>
          </w:p>
        </w:tc>
        <w:tc>
          <w:tcPr>
            <w:tcW w:type="dxa" w:w="3041"/>
            <w:tcMar>
              <w:top w:w="60" w:type="dxa"/>
              <w:bottom w:w="60" w:type="dxa"/>
              <w:start w:w="110" w:type="dxa"/>
              <w:end w:w="110" w:type="dxa"/>
            </w:tcMar>
          </w:tcPr>
          <w:p>
            <w:pPr>
              <w:spacing w:after="0"/>
              <w:jc w:val="left"/>
            </w:pPr>
            <w:r>
              <w:rPr>
                <w:rFonts w:ascii="Calibri" w:hAnsi="Calibri"/>
                <w:b w:val="0"/>
                <w:i w:val="0"/>
                <w:color w:val="1B2A32"/>
                <w:sz w:val="17"/>
              </w:rPr>
              <w:t>Arbitration</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F-L14</w:t>
            </w:r>
          </w:p>
        </w:tc>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Lok Adalat Referral / Joint Compromise Memo</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Lok Adalat</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F-L15</w:t>
            </w:r>
          </w:p>
        </w:tc>
        <w:tc>
          <w:tcPr>
            <w:tcW w:type="dxa" w:w="5512"/>
            <w:tcMar>
              <w:top w:w="60" w:type="dxa"/>
              <w:bottom w:w="60" w:type="dxa"/>
              <w:start w:w="110" w:type="dxa"/>
              <w:end w:w="110" w:type="dxa"/>
            </w:tcMar>
          </w:tcPr>
          <w:p>
            <w:pPr>
              <w:spacing w:after="0"/>
              <w:jc w:val="left"/>
            </w:pPr>
            <w:r>
              <w:rPr>
                <w:rFonts w:ascii="Calibri" w:hAnsi="Calibri"/>
                <w:b w:val="0"/>
                <w:i w:val="0"/>
                <w:color w:val="1B2A32"/>
                <w:sz w:val="17"/>
              </w:rPr>
              <w:t>Enforcement &amp; No-Dues / NOC Checklist</w:t>
            </w:r>
          </w:p>
        </w:tc>
        <w:tc>
          <w:tcPr>
            <w:tcW w:type="dxa" w:w="3041"/>
            <w:tcMar>
              <w:top w:w="60" w:type="dxa"/>
              <w:bottom w:w="60" w:type="dxa"/>
              <w:start w:w="110" w:type="dxa"/>
              <w:end w:w="110" w:type="dxa"/>
            </w:tcMar>
          </w:tcPr>
          <w:p>
            <w:pPr>
              <w:spacing w:after="0"/>
              <w:jc w:val="left"/>
            </w:pPr>
            <w:r>
              <w:rPr>
                <w:rFonts w:ascii="Calibri" w:hAnsi="Calibri"/>
                <w:b w:val="0"/>
                <w:i w:val="0"/>
                <w:color w:val="1B2A32"/>
                <w:sz w:val="17"/>
              </w:rPr>
              <w:t>Closure</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F-L16</w:t>
            </w:r>
          </w:p>
        </w:tc>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Case Closure Report</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Closure</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F-L17</w:t>
            </w:r>
          </w:p>
        </w:tc>
        <w:tc>
          <w:tcPr>
            <w:tcW w:type="dxa" w:w="5512"/>
            <w:tcMar>
              <w:top w:w="60" w:type="dxa"/>
              <w:bottom w:w="60" w:type="dxa"/>
              <w:start w:w="110" w:type="dxa"/>
              <w:end w:w="110" w:type="dxa"/>
            </w:tcMar>
          </w:tcPr>
          <w:p>
            <w:pPr>
              <w:spacing w:after="0"/>
              <w:jc w:val="left"/>
            </w:pPr>
            <w:r>
              <w:rPr>
                <w:rFonts w:ascii="Calibri" w:hAnsi="Calibri"/>
                <w:b w:val="0"/>
                <w:i w:val="0"/>
                <w:color w:val="1B2A32"/>
                <w:sz w:val="17"/>
              </w:rPr>
              <w:t>Agreement to Mediate &amp; Confidentiality</w:t>
            </w:r>
          </w:p>
        </w:tc>
        <w:tc>
          <w:tcPr>
            <w:tcW w:type="dxa" w:w="3041"/>
            <w:tcMar>
              <w:top w:w="60" w:type="dxa"/>
              <w:bottom w:w="60" w:type="dxa"/>
              <w:start w:w="110" w:type="dxa"/>
              <w:end w:w="110" w:type="dxa"/>
            </w:tcMar>
          </w:tcPr>
          <w:p>
            <w:pPr>
              <w:spacing w:after="0"/>
              <w:jc w:val="left"/>
            </w:pPr>
            <w:r>
              <w:rPr>
                <w:rFonts w:ascii="Calibri" w:hAnsi="Calibri"/>
                <w:b w:val="0"/>
                <w:i w:val="0"/>
                <w:color w:val="1B2A32"/>
                <w:sz w:val="17"/>
              </w:rPr>
              <w:t>Pre-mediation</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F-L18</w:t>
            </w:r>
          </w:p>
        </w:tc>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Costs &amp; Fee Statement</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Billing</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F-L19</w:t>
            </w:r>
          </w:p>
        </w:tc>
        <w:tc>
          <w:tcPr>
            <w:tcW w:type="dxa" w:w="5512"/>
            <w:tcMar>
              <w:top w:w="60" w:type="dxa"/>
              <w:bottom w:w="60" w:type="dxa"/>
              <w:start w:w="110" w:type="dxa"/>
              <w:end w:w="110" w:type="dxa"/>
            </w:tcMar>
          </w:tcPr>
          <w:p>
            <w:pPr>
              <w:spacing w:after="0"/>
              <w:jc w:val="left"/>
            </w:pPr>
            <w:r>
              <w:rPr>
                <w:rFonts w:ascii="Calibri" w:hAnsi="Calibri"/>
                <w:b w:val="0"/>
                <w:i w:val="0"/>
                <w:color w:val="1B2A32"/>
                <w:sz w:val="17"/>
              </w:rPr>
              <w:t>Model Loan-Agreement ADR Clause</w:t>
            </w:r>
          </w:p>
        </w:tc>
        <w:tc>
          <w:tcPr>
            <w:tcW w:type="dxa" w:w="3041"/>
            <w:tcMar>
              <w:top w:w="60" w:type="dxa"/>
              <w:bottom w:w="60" w:type="dxa"/>
              <w:start w:w="110" w:type="dxa"/>
              <w:end w:w="110" w:type="dxa"/>
            </w:tcMar>
          </w:tcPr>
          <w:p>
            <w:pPr>
              <w:spacing w:after="0"/>
              <w:jc w:val="left"/>
            </w:pPr>
            <w:r>
              <w:rPr>
                <w:rFonts w:ascii="Calibri" w:hAnsi="Calibri"/>
                <w:b w:val="0"/>
                <w:i w:val="0"/>
                <w:color w:val="1B2A32"/>
                <w:sz w:val="17"/>
              </w:rPr>
              <w:t>Clause insertion</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F-L20</w:t>
            </w:r>
          </w:p>
        </w:tc>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Application for Time Extension</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Sessions</w:t>
            </w:r>
          </w:p>
        </w:tc>
      </w:tr>
    </w:tbl>
    <w:p>
      <w:pPr>
        <w:spacing w:after="80"/>
      </w:pPr>
    </w:p>
    <w:p>
      <w:pPr>
        <w:spacing w:before="20" w:after="200"/>
        <w:jc w:val="center"/>
      </w:pPr>
      <w:r>
        <w:rPr>
          <w:rFonts w:ascii="Calibri" w:hAnsi="Calibri"/>
          <w:b w:val="0"/>
          <w:i/>
          <w:color w:val="556168"/>
          <w:sz w:val="17"/>
        </w:rPr>
        <w:t>Table 7 — Financial forms register (full text in Part H).</w:t>
      </w:r>
    </w:p>
    <w:p>
      <w:pPr>
        <w:keepNext/>
        <w:spacing w:before="320" w:after="140"/>
        <w:pBdr>
          <w:bottom w:val="single" w:sz="12" w:space="3" w:color="C6A15B"/>
        </w:pBdr>
      </w:pPr>
      <w:r>
        <w:rPr>
          <w:rFonts w:ascii="Calibri" w:hAnsi="Calibri"/>
          <w:b/>
          <w:i w:val="0"/>
          <w:color w:val="123B4F"/>
          <w:sz w:val="34"/>
        </w:rPr>
        <w:t>26.  Fees &amp; Commercials</w:t>
      </w:r>
    </w:p>
    <w:p>
      <w:pPr>
        <w:spacing w:after="140"/>
        <w:jc w:val="both"/>
      </w:pPr>
      <w:r>
        <w:rPr>
          <w:rFonts w:ascii="Calibri" w:hAnsi="Calibri"/>
          <w:b w:val="0"/>
          <w:i w:val="0"/>
          <w:color w:val="1B2A32"/>
          <w:sz w:val="21"/>
        </w:rPr>
        <w:t xml:space="preserve">Financial-dispute fees are kept </w:t>
      </w:r>
      <w:r>
        <w:rPr>
          <w:rFonts w:ascii="Calibri" w:hAnsi="Calibri"/>
          <w:b/>
          <w:i w:val="0"/>
          <w:color w:val="1B2A32"/>
          <w:sz w:val="21"/>
        </w:rPr>
        <w:t>low and volume-friendly</w:t>
      </w:r>
      <w:r>
        <w:rPr>
          <w:rFonts w:ascii="Calibri" w:hAnsi="Calibri"/>
          <w:b w:val="0"/>
          <w:i w:val="0"/>
          <w:color w:val="1B2A32"/>
          <w:sz w:val="21"/>
        </w:rPr>
        <w:t xml:space="preserve">, reflecting many small-value matters (cheque bounce, personal loans) alongside larger recovery disputes. The structure: a modest registration fee, a per-session or flat mediation fee (concessional for small/consumer matters), an escrow-handling fee, and — for institutional lenders — </w:t>
      </w:r>
      <w:r>
        <w:rPr>
          <w:rFonts w:ascii="Calibri" w:hAnsi="Calibri"/>
          <w:b/>
          <w:i w:val="0"/>
          <w:color w:val="1B2A32"/>
          <w:sz w:val="21"/>
        </w:rPr>
        <w:t>subscription/volume</w:t>
      </w:r>
      <w:r>
        <w:rPr>
          <w:rFonts w:ascii="Calibri" w:hAnsi="Calibri"/>
          <w:b w:val="0"/>
          <w:i w:val="0"/>
          <w:color w:val="1B2A32"/>
          <w:sz w:val="21"/>
        </w:rPr>
        <w:t xml:space="preserve"> pricing under the clause-insertion programme. A settlement calculator gives instant estimates.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3231"/>
            <w:shd w:val="clear" w:color="auto" w:fill="123B4F"/>
            <w:tcMar>
              <w:top w:w="60" w:type="dxa"/>
              <w:bottom w:w="60" w:type="dxa"/>
              <w:start w:w="110" w:type="dxa"/>
              <w:end w:w="110" w:type="dxa"/>
            </w:tcMar>
          </w:tcPr>
          <w:p>
            <w:pPr>
              <w:spacing w:after="0"/>
            </w:pPr>
            <w:r>
              <w:rPr>
                <w:rFonts w:ascii="Calibri" w:hAnsi="Calibri"/>
                <w:b/>
                <w:i w:val="0"/>
                <w:color w:val="FFFFFF"/>
                <w:sz w:val="17"/>
              </w:rPr>
              <w:t>Component</w:t>
            </w:r>
          </w:p>
        </w:tc>
        <w:tc>
          <w:tcPr>
            <w:tcW w:type="dxa" w:w="4182"/>
            <w:shd w:val="clear" w:color="auto" w:fill="123B4F"/>
            <w:tcMar>
              <w:top w:w="60" w:type="dxa"/>
              <w:bottom w:w="60" w:type="dxa"/>
              <w:start w:w="110" w:type="dxa"/>
              <w:end w:w="110" w:type="dxa"/>
            </w:tcMar>
          </w:tcPr>
          <w:p>
            <w:pPr>
              <w:spacing w:after="0"/>
            </w:pPr>
            <w:r>
              <w:rPr>
                <w:rFonts w:ascii="Calibri" w:hAnsi="Calibri"/>
                <w:b/>
                <w:i w:val="0"/>
                <w:color w:val="FFFFFF"/>
                <w:sz w:val="17"/>
              </w:rPr>
              <w:t>Basis</w:t>
            </w:r>
          </w:p>
        </w:tc>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Indicative</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7"/>
              </w:rPr>
              <w:t>Registration fee</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One-time, per case</w:t>
            </w:r>
          </w:p>
        </w:tc>
        <w:tc>
          <w:tcPr>
            <w:tcW w:type="dxa" w:w="2091"/>
            <w:tcMar>
              <w:top w:w="60" w:type="dxa"/>
              <w:bottom w:w="60" w:type="dxa"/>
              <w:start w:w="110" w:type="dxa"/>
              <w:end w:w="110" w:type="dxa"/>
            </w:tcMar>
          </w:tcPr>
          <w:p>
            <w:pPr>
              <w:spacing w:after="0"/>
              <w:jc w:val="left"/>
            </w:pPr>
            <w:r>
              <w:rPr>
                <w:rFonts w:ascii="Calibri" w:hAnsi="Calibri"/>
                <w:b w:val="0"/>
                <w:i w:val="0"/>
                <w:color w:val="1B2A32"/>
                <w:sz w:val="17"/>
              </w:rPr>
              <w:t>₹500–2,000 by value band</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Mediation / conciliation fee</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Flat or per session; concessional for small matters</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₹2,000–15,000</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7"/>
              </w:rPr>
              <w:t>Arbitration (if clause)</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Per Fourth Schedule / schedule</w:t>
            </w:r>
          </w:p>
        </w:tc>
        <w:tc>
          <w:tcPr>
            <w:tcW w:type="dxa" w:w="2091"/>
            <w:tcMar>
              <w:top w:w="60" w:type="dxa"/>
              <w:bottom w:w="60" w:type="dxa"/>
              <w:start w:w="110" w:type="dxa"/>
              <w:end w:w="110" w:type="dxa"/>
            </w:tcMar>
          </w:tcPr>
          <w:p>
            <w:pPr>
              <w:spacing w:after="0"/>
              <w:jc w:val="left"/>
            </w:pPr>
            <w:r>
              <w:rPr>
                <w:rFonts w:ascii="Calibri" w:hAnsi="Calibri"/>
                <w:b w:val="0"/>
                <w:i w:val="0"/>
                <w:color w:val="1B2A32"/>
                <w:sz w:val="17"/>
              </w:rPr>
              <w:t>Ad valorem</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Escrow handling</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 of amount held / flat</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Per bank tariff</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7"/>
              </w:rPr>
              <w:t>Institutional subscription</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Per lender volume tier (clause-insertion)</w:t>
            </w:r>
          </w:p>
        </w:tc>
        <w:tc>
          <w:tcPr>
            <w:tcW w:type="dxa" w:w="2091"/>
            <w:tcMar>
              <w:top w:w="60" w:type="dxa"/>
              <w:bottom w:w="60" w:type="dxa"/>
              <w:start w:w="110" w:type="dxa"/>
              <w:end w:w="110" w:type="dxa"/>
            </w:tcMar>
          </w:tcPr>
          <w:p>
            <w:pPr>
              <w:spacing w:after="0"/>
              <w:jc w:val="left"/>
            </w:pPr>
            <w:r>
              <w:rPr>
                <w:rFonts w:ascii="Calibri" w:hAnsi="Calibri"/>
                <w:b w:val="0"/>
                <w:i w:val="0"/>
                <w:color w:val="1B2A32"/>
                <w:sz w:val="17"/>
              </w:rPr>
              <w:t>Negotiated</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Consumer / indigent concession</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Reduced / waived</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Means-based</w:t>
            </w:r>
          </w:p>
        </w:tc>
      </w:tr>
    </w:tbl>
    <w:p>
      <w:pPr>
        <w:spacing w:after="80"/>
      </w:pPr>
    </w:p>
    <w:p>
      <w:pPr>
        <w:spacing w:before="20" w:after="200"/>
        <w:jc w:val="center"/>
      </w:pPr>
      <w:r>
        <w:rPr>
          <w:rFonts w:ascii="Calibri" w:hAnsi="Calibri"/>
          <w:b w:val="0"/>
          <w:i/>
          <w:color w:val="556168"/>
          <w:sz w:val="17"/>
        </w:rPr>
        <w:t>Table 8 — Fee architecture (confirm against Equator's published tariff).</w:t>
      </w:r>
    </w:p>
    <w:p>
      <w:pPr>
        <w:keepNext/>
        <w:spacing w:before="320" w:after="140"/>
        <w:pBdr>
          <w:bottom w:val="single" w:sz="12" w:space="3" w:color="C6A15B"/>
        </w:pBdr>
      </w:pPr>
      <w:r>
        <w:rPr>
          <w:rFonts w:ascii="Calibri" w:hAnsi="Calibri"/>
          <w:b/>
          <w:i w:val="0"/>
          <w:color w:val="123B4F"/>
          <w:sz w:val="34"/>
        </w:rPr>
        <w:t>27.  Risk, Ethics &amp; Compliance Register</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6"/>
              </w:rPr>
              <w:t>Risk</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6"/>
              </w:rPr>
              <w:t>Impact</w:t>
            </w:r>
          </w:p>
        </w:tc>
        <w:tc>
          <w:tcPr>
            <w:tcW w:type="dxa" w:w="4182"/>
            <w:shd w:val="clear" w:color="auto" w:fill="123B4F"/>
            <w:tcMar>
              <w:top w:w="60" w:type="dxa"/>
              <w:bottom w:w="60" w:type="dxa"/>
              <w:start w:w="110" w:type="dxa"/>
              <w:end w:w="110" w:type="dxa"/>
            </w:tcMar>
          </w:tcPr>
          <w:p>
            <w:pPr>
              <w:spacing w:after="0"/>
            </w:pPr>
            <w:r>
              <w:rPr>
                <w:rFonts w:ascii="Calibri" w:hAnsi="Calibri"/>
                <w:b/>
                <w:i w:val="0"/>
                <w:color w:val="FFFFFF"/>
                <w:sz w:val="16"/>
              </w:rPr>
              <w:t>Mitigation</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6"/>
              </w:rPr>
              <w:t>Resolving a special-forum matter (SARFAESI/DRT/Ombudsman)</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Void/ineffective; jurisdiction</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Triage &amp; route; do not purport to decide special-forum matters</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Borrower coercion / unfair settlement</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Void settlement; harm; reputational</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Fair-process safeguards; no legal advice; right to withdraw; caucus</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6"/>
              </w:rPr>
              <w:t>Non-compliance with RBI Fair Practices / recovery norms</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Regulatory &amp; reputational</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Align process with RBI Code; handle harassment properly</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Data breach (financial data)</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DPDP penalties; harm</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Encryption, access control, breach protocol, minimisation</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6"/>
              </w:rPr>
              <w:t>Escrow / No-Dues mishandled</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Financial loss; disputes</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Regulated agent; conditional release on NOC; audit</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Wrong credit-bureau outcome</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Borrower harm</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Bake correction into settlement; verify lender action</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6"/>
              </w:rPr>
              <w:t>Cheque case not lawfully compounded</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Settlement fails</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Follow SC compounding process; Lok Adalat where apt</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AI error / disguised advice</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Harm; UPL</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Guardrails; human-in-the-loop; information not advice</w:t>
            </w:r>
          </w:p>
        </w:tc>
      </w:tr>
    </w:tbl>
    <w:p>
      <w:pPr>
        <w:spacing w:after="80"/>
      </w:pPr>
    </w:p>
    <w:p>
      <w:pPr>
        <w:spacing w:before="20" w:after="200"/>
        <w:jc w:val="center"/>
      </w:pPr>
      <w:r>
        <w:rPr>
          <w:rFonts w:ascii="Calibri" w:hAnsi="Calibri"/>
          <w:b w:val="0"/>
          <w:i/>
          <w:color w:val="556168"/>
          <w:sz w:val="17"/>
        </w:rPr>
        <w:t>Table 9 — Principal risks and controls.</w:t>
      </w:r>
    </w:p>
    <w:p>
      <w:pPr>
        <w:keepNext/>
        <w:spacing w:before="320" w:after="140"/>
        <w:pBdr>
          <w:bottom w:val="single" w:sz="12" w:space="3" w:color="C6A15B"/>
        </w:pBdr>
      </w:pPr>
      <w:r>
        <w:rPr>
          <w:rFonts w:ascii="Calibri" w:hAnsi="Calibri"/>
          <w:b/>
          <w:i w:val="0"/>
          <w:color w:val="123B4F"/>
          <w:sz w:val="34"/>
        </w:rPr>
        <w:t>28.  Implementation Roadmap</w:t>
      </w:r>
    </w:p>
    <w:p>
      <w:pPr>
        <w:pStyle w:val="ListNumber"/>
        <w:spacing w:after="60"/>
        <w:jc w:val="both"/>
      </w:pPr>
      <w:r>
        <w:rPr>
          <w:rFonts w:ascii="Calibri" w:hAnsi="Calibri"/>
          <w:b/>
          <w:i w:val="0"/>
          <w:color w:val="1B2A32"/>
          <w:sz w:val="21"/>
        </w:rPr>
        <w:t>Phase 1 (Months 1–3):</w:t>
      </w:r>
      <w:r>
        <w:rPr>
          <w:rFonts w:ascii="Calibri" w:hAnsi="Calibri"/>
          <w:b w:val="0"/>
          <w:i w:val="0"/>
          <w:color w:val="1B2A32"/>
          <w:sz w:val="21"/>
        </w:rPr>
        <w:t xml:space="preserve"> publish rules &amp; fee schedule; stand up intake, triage, KYC/KYB and case management; empanel finance-experienced neutrals; deploy the Forms Pack; build the OTS &amp; interest calculators.</w:t>
      </w:r>
    </w:p>
    <w:p>
      <w:pPr>
        <w:pStyle w:val="ListNumber"/>
        <w:spacing w:after="60"/>
        <w:jc w:val="both"/>
      </w:pPr>
      <w:r>
        <w:rPr>
          <w:rFonts w:ascii="Calibri" w:hAnsi="Calibri"/>
          <w:b/>
          <w:i w:val="0"/>
          <w:color w:val="1B2A32"/>
          <w:sz w:val="21"/>
        </w:rPr>
        <w:t>Phase 2 (Months 3–5):</w:t>
      </w:r>
      <w:r>
        <w:rPr>
          <w:rFonts w:ascii="Calibri" w:hAnsi="Calibri"/>
          <w:b w:val="0"/>
          <w:i w:val="0"/>
          <w:color w:val="1B2A32"/>
          <w:sz w:val="21"/>
        </w:rPr>
        <w:t xml:space="preserve"> escrow &amp; No-Dues workflow; NI-138 compounding/Lok Adalat integration; digital-lending grievance handling; e-Sign/e-Stamp; supervised pilots with 2–3 NBFCs.</w:t>
      </w:r>
    </w:p>
    <w:p>
      <w:pPr>
        <w:pStyle w:val="ListNumber"/>
        <w:spacing w:after="60"/>
        <w:jc w:val="both"/>
      </w:pPr>
      <w:r>
        <w:rPr>
          <w:rFonts w:ascii="Calibri" w:hAnsi="Calibri"/>
          <w:b/>
          <w:i w:val="0"/>
          <w:color w:val="1B2A32"/>
          <w:sz w:val="21"/>
        </w:rPr>
        <w:t>Phase 3 (Months 5–8):</w:t>
      </w:r>
      <w:r>
        <w:rPr>
          <w:rFonts w:ascii="Calibri" w:hAnsi="Calibri"/>
          <w:b w:val="0"/>
          <w:i w:val="0"/>
          <w:color w:val="1B2A32"/>
          <w:sz w:val="21"/>
        </w:rPr>
        <w:t xml:space="preserve"> RBI Ombudsman/DRT/Lok Adalat referral alignment; </w:t>
      </w:r>
      <w:r>
        <w:rPr>
          <w:rFonts w:ascii="Calibri" w:hAnsi="Calibri"/>
          <w:b/>
          <w:i w:val="0"/>
          <w:color w:val="1B2A32"/>
          <w:sz w:val="21"/>
        </w:rPr>
        <w:t>clause-insertion</w:t>
      </w:r>
      <w:r>
        <w:rPr>
          <w:rFonts w:ascii="Calibri" w:hAnsi="Calibri"/>
          <w:b w:val="0"/>
          <w:i w:val="0"/>
          <w:color w:val="1B2A32"/>
          <w:sz w:val="21"/>
        </w:rPr>
        <w:t xml:space="preserve"> onboarding of NBFC/bank/fintech partners; credit-bureau integration.</w:t>
      </w:r>
    </w:p>
    <w:p>
      <w:pPr>
        <w:pStyle w:val="ListNumber"/>
        <w:spacing w:after="60"/>
        <w:jc w:val="both"/>
      </w:pPr>
      <w:r>
        <w:rPr>
          <w:rFonts w:ascii="Calibri" w:hAnsi="Calibri"/>
          <w:b/>
          <w:i w:val="0"/>
          <w:color w:val="1B2A32"/>
          <w:sz w:val="21"/>
        </w:rPr>
        <w:t>Phase 4 (Months 8–12):</w:t>
      </w:r>
      <w:r>
        <w:rPr>
          <w:rFonts w:ascii="Calibri" w:hAnsi="Calibri"/>
          <w:b w:val="0"/>
          <w:i w:val="0"/>
          <w:color w:val="1B2A32"/>
          <w:sz w:val="21"/>
        </w:rPr>
        <w:t xml:space="preserve"> scale institutional partners and case volume; publish anonymised settlement data; expand to microfinance and P2P.</w:t>
      </w:r>
    </w:p>
    <w:p>
      <w:pPr>
        <w:spacing w:after="40"/>
      </w:pPr>
    </w:p>
    <w:p>
      <w:pPr>
        <w:keepNext/>
        <w:spacing w:before="320" w:after="140"/>
        <w:pBdr>
          <w:bottom w:val="single" w:sz="12" w:space="3" w:color="C6A15B"/>
        </w:pBdr>
      </w:pPr>
      <w:r>
        <w:rPr>
          <w:rFonts w:ascii="Calibri" w:hAnsi="Calibri"/>
          <w:b/>
          <w:i w:val="0"/>
          <w:color w:val="123B4F"/>
          <w:sz w:val="34"/>
        </w:rPr>
        <w:t>29.  Key Performance Indicators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KPI</w:t>
            </w:r>
          </w:p>
        </w:tc>
        <w:tc>
          <w:tcPr>
            <w:tcW w:type="dxa" w:w="4182"/>
            <w:shd w:val="clear" w:color="auto" w:fill="123B4F"/>
            <w:tcMar>
              <w:top w:w="60" w:type="dxa"/>
              <w:bottom w:w="60" w:type="dxa"/>
              <w:start w:w="110" w:type="dxa"/>
              <w:end w:w="110" w:type="dxa"/>
            </w:tcMar>
          </w:tcPr>
          <w:p>
            <w:pPr>
              <w:spacing w:after="0"/>
            </w:pPr>
            <w:r>
              <w:rPr>
                <w:rFonts w:ascii="Calibri" w:hAnsi="Calibri"/>
                <w:b/>
                <w:i w:val="0"/>
                <w:color w:val="FFFFFF"/>
                <w:sz w:val="17"/>
              </w:rPr>
              <w:t>Definition</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7"/>
              </w:rPr>
              <w:t>Target (Year 1)</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Time to first session</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Filing → first session</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 14 days (median)</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Settlement rate</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Settled ÷ commenced</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 60%</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Cheque-bounce closure</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NI-138 matters compounded/settled</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 65%</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Cycle time</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Filing → settlement</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 45 days (median)</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Recovery for lenders</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OTS realised via escrow</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 90% of agreed</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Borrower satisfaction / fairness</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Post-case CSAT</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 4.3 / 5</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Escrow reliability</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Releases to schedule</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 99%</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Clause-insertion partners</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Lenders embedding Equator</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 15 in Year 1</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Credit-bureau correction compliance</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Corrections completed on closure</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100%</w:t>
            </w:r>
          </w:p>
        </w:tc>
      </w:tr>
    </w:tbl>
    <w:p>
      <w:pPr>
        <w:spacing w:after="80"/>
      </w:pPr>
    </w:p>
    <w:p>
      <w:pPr>
        <w:spacing w:before="20" w:after="200"/>
        <w:jc w:val="center"/>
      </w:pPr>
      <w:r>
        <w:rPr>
          <w:rFonts w:ascii="Calibri" w:hAnsi="Calibri"/>
          <w:b w:val="0"/>
          <w:i/>
          <w:color w:val="556168"/>
          <w:sz w:val="17"/>
        </w:rPr>
        <w:t>Table 10 — Financial-vertical KPIs.</w:t>
      </w:r>
    </w:p>
    <w:p>
      <w:r>
        <w:br w:type="page"/>
      </w:r>
    </w:p>
    <w:p>
      <w:pPr>
        <w:spacing w:before="600" w:after="40"/>
      </w:pPr>
      <w:r>
        <w:rPr>
          <w:rFonts w:ascii="Calibri" w:hAnsi="Calibri"/>
          <w:b/>
          <w:i w:val="0"/>
          <w:color w:val="C6A15B"/>
          <w:sz w:val="26"/>
        </w:rPr>
        <w:t>PART E</w:t>
      </w:r>
    </w:p>
    <w:p>
      <w:pPr>
        <w:spacing w:after="200"/>
        <w:pBdr>
          <w:bottom w:val="single" w:sz="18" w:space="3" w:color="1E7A8C"/>
        </w:pBdr>
      </w:pPr>
      <w:r>
        <w:rPr>
          <w:rFonts w:ascii="Calibri" w:hAnsi="Calibri"/>
          <w:b/>
          <w:i w:val="0"/>
          <w:color w:val="123B4F"/>
          <w:sz w:val="46"/>
        </w:rPr>
        <w:t>Strengthening Resolution &amp; Global Best Practice</w:t>
      </w:r>
    </w:p>
    <w:p>
      <w:pPr>
        <w:keepNext/>
        <w:spacing w:before="320" w:after="140"/>
        <w:pBdr>
          <w:bottom w:val="single" w:sz="12" w:space="3" w:color="C6A15B"/>
        </w:pBdr>
      </w:pPr>
      <w:r>
        <w:rPr>
          <w:rFonts w:ascii="Calibri" w:hAnsi="Calibri"/>
          <w:b/>
          <w:i w:val="0"/>
          <w:color w:val="123B4F"/>
          <w:sz w:val="34"/>
        </w:rPr>
        <w:t>30.  Global Best Practice in Financial Dispute Resolution</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Mature markets resolve financial consumer disputes through </w:t>
            </w:r>
            <w:r>
              <w:rPr>
                <w:rFonts w:ascii="Calibri" w:hAnsi="Calibri"/>
                <w:b/>
                <w:i w:val="0"/>
                <w:color w:val="1B2A32"/>
                <w:sz w:val="20"/>
              </w:rPr>
              <w:t>ombudsman + ADR</w:t>
            </w:r>
            <w:r>
              <w:rPr>
                <w:rFonts w:ascii="Calibri" w:hAnsi="Calibri"/>
                <w:b w:val="0"/>
                <w:i w:val="0"/>
                <w:color w:val="1B2A32"/>
                <w:sz w:val="20"/>
              </w:rPr>
              <w:t xml:space="preserve"> models — the UK's Financial Ombudsman Service, Australia's AFCA, and consumer-finance ADR in the US. Equator adopts the best of these — accessibility, free/low-cost redress, fairness to the consumer — within India's RBI Ombudsman and Mediation Act framework.</w:t>
            </w:r>
          </w:p>
        </w:tc>
      </w:tr>
    </w:tbl>
    <w:p>
      <w:pPr>
        <w:spacing w:after="120"/>
      </w:pPr>
    </w:p>
    <w:p>
      <w:pPr>
        <w:spacing w:after="140"/>
        <w:jc w:val="both"/>
      </w:pPr>
      <w:r>
        <w:rPr>
          <w:rFonts w:ascii="Calibri" w:hAnsi="Calibri"/>
          <w:b w:val="0"/>
          <w:i w:val="0"/>
          <w:color w:val="1B2A32"/>
          <w:sz w:val="21"/>
        </w:rPr>
        <w:t xml:space="preserve">The global consensus on financial disputes favours </w:t>
      </w:r>
      <w:r>
        <w:rPr>
          <w:rFonts w:ascii="Calibri" w:hAnsi="Calibri"/>
          <w:b/>
          <w:i w:val="0"/>
          <w:color w:val="1B2A32"/>
          <w:sz w:val="21"/>
        </w:rPr>
        <w:t>accessible, low-cost, consumer-fair</w:t>
      </w:r>
      <w:r>
        <w:rPr>
          <w:rFonts w:ascii="Calibri" w:hAnsi="Calibri"/>
          <w:b w:val="0"/>
          <w:i w:val="0"/>
          <w:color w:val="1B2A32"/>
          <w:sz w:val="21"/>
        </w:rPr>
        <w:t xml:space="preserve"> resolution. The UK </w:t>
      </w:r>
      <w:r>
        <w:rPr>
          <w:rFonts w:ascii="Calibri" w:hAnsi="Calibri"/>
          <w:b/>
          <w:i w:val="0"/>
          <w:color w:val="1B2A32"/>
          <w:sz w:val="21"/>
        </w:rPr>
        <w:t>Financial Ombudsman Service</w:t>
      </w:r>
      <w:r>
        <w:rPr>
          <w:rFonts w:ascii="Calibri" w:hAnsi="Calibri"/>
          <w:b w:val="0"/>
          <w:i w:val="0"/>
          <w:color w:val="1B2A32"/>
          <w:sz w:val="21"/>
        </w:rPr>
        <w:t xml:space="preserve"> and Australia's </w:t>
      </w:r>
      <w:r>
        <w:rPr>
          <w:rFonts w:ascii="Calibri" w:hAnsi="Calibri"/>
          <w:b/>
          <w:i w:val="0"/>
          <w:color w:val="1B2A32"/>
          <w:sz w:val="21"/>
        </w:rPr>
        <w:t>AFCA</w:t>
      </w:r>
      <w:r>
        <w:rPr>
          <w:rFonts w:ascii="Calibri" w:hAnsi="Calibri"/>
          <w:b w:val="0"/>
          <w:i w:val="0"/>
          <w:color w:val="1B2A32"/>
          <w:sz w:val="21"/>
        </w:rPr>
        <w:t xml:space="preserve"> provide free, binding redress for consumers against financial firms; US consumer-finance disputes use arbitration and mediation with consumer safeguards. India's own </w:t>
      </w:r>
      <w:r>
        <w:rPr>
          <w:rFonts w:ascii="Calibri" w:hAnsi="Calibri"/>
          <w:b/>
          <w:i w:val="0"/>
          <w:color w:val="1B2A32"/>
          <w:sz w:val="21"/>
        </w:rPr>
        <w:t>RBI Integrated Ombudsman</w:t>
      </w:r>
      <w:r>
        <w:rPr>
          <w:rFonts w:ascii="Calibri" w:hAnsi="Calibri"/>
          <w:b w:val="0"/>
          <w:i w:val="0"/>
          <w:color w:val="1B2A32"/>
          <w:sz w:val="21"/>
        </w:rPr>
        <w:t xml:space="preserve"> mirrors this for grievances, and the </w:t>
      </w:r>
      <w:r>
        <w:rPr>
          <w:rFonts w:ascii="Calibri" w:hAnsi="Calibri"/>
          <w:b/>
          <w:i w:val="0"/>
          <w:color w:val="1B2A32"/>
          <w:sz w:val="21"/>
        </w:rPr>
        <w:t>Mediation Act</w:t>
      </w:r>
      <w:r>
        <w:rPr>
          <w:rFonts w:ascii="Calibri" w:hAnsi="Calibri"/>
          <w:b w:val="0"/>
          <w:i w:val="0"/>
          <w:color w:val="1B2A32"/>
          <w:sz w:val="21"/>
        </w:rPr>
        <w:t xml:space="preserve"> and Lok Adalat system provide the settlement layer. Equator's design borrows the accessibility, plain-language and consumer-fairness of these systems, adds </w:t>
      </w:r>
      <w:r>
        <w:rPr>
          <w:rFonts w:ascii="Calibri" w:hAnsi="Calibri"/>
          <w:b/>
          <w:i w:val="0"/>
          <w:color w:val="1B2A32"/>
          <w:sz w:val="21"/>
        </w:rPr>
        <w:t>escrow-secured settlement</w:t>
      </w:r>
      <w:r>
        <w:rPr>
          <w:rFonts w:ascii="Calibri" w:hAnsi="Calibri"/>
          <w:b w:val="0"/>
          <w:i w:val="0"/>
          <w:color w:val="1B2A32"/>
          <w:sz w:val="21"/>
        </w:rPr>
        <w:t xml:space="preserve"> and </w:t>
      </w:r>
      <w:r>
        <w:rPr>
          <w:rFonts w:ascii="Calibri" w:hAnsi="Calibri"/>
          <w:b/>
          <w:i w:val="0"/>
          <w:color w:val="1B2A32"/>
          <w:sz w:val="21"/>
        </w:rPr>
        <w:t>digital delivery</w:t>
      </w:r>
      <w:r>
        <w:rPr>
          <w:rFonts w:ascii="Calibri" w:hAnsi="Calibri"/>
          <w:b w:val="0"/>
          <w:i w:val="0"/>
          <w:color w:val="1B2A32"/>
          <w:sz w:val="21"/>
        </w:rPr>
        <w:t xml:space="preserve">, and aligns with </w:t>
      </w:r>
      <w:r>
        <w:rPr>
          <w:rFonts w:ascii="Calibri" w:hAnsi="Calibri"/>
          <w:b/>
          <w:i w:val="0"/>
          <w:color w:val="1B2A32"/>
          <w:sz w:val="21"/>
        </w:rPr>
        <w:t>NITI Aayog's ODR</w:t>
      </w:r>
      <w:r>
        <w:rPr>
          <w:rFonts w:ascii="Calibri" w:hAnsi="Calibri"/>
          <w:b w:val="0"/>
          <w:i w:val="0"/>
          <w:color w:val="1B2A32"/>
          <w:sz w:val="21"/>
        </w:rPr>
        <w:t xml:space="preserve"> push and the </w:t>
      </w:r>
      <w:r>
        <w:rPr>
          <w:rFonts w:ascii="Calibri" w:hAnsi="Calibri"/>
          <w:b/>
          <w:i w:val="0"/>
          <w:color w:val="1B2A32"/>
          <w:sz w:val="21"/>
        </w:rPr>
        <w:t>UNCITRAL Technical Notes on ODR</w:t>
      </w:r>
      <w:r>
        <w:rPr>
          <w:rFonts w:ascii="Calibri" w:hAnsi="Calibri"/>
          <w:b w:val="0"/>
          <w:i w:val="0"/>
          <w:color w:val="1B2A32"/>
          <w:sz w:val="21"/>
        </w:rPr>
        <w:t>.</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7"/>
              </w:rPr>
              <w:t>Model</w:t>
            </w:r>
          </w:p>
        </w:tc>
        <w:tc>
          <w:tcPr>
            <w:tcW w:type="dxa" w:w="3992"/>
            <w:shd w:val="clear" w:color="auto" w:fill="123B4F"/>
            <w:tcMar>
              <w:top w:w="60" w:type="dxa"/>
              <w:bottom w:w="60" w:type="dxa"/>
              <w:start w:w="110" w:type="dxa"/>
              <w:end w:w="110" w:type="dxa"/>
            </w:tcMar>
          </w:tcPr>
          <w:p>
            <w:pPr>
              <w:spacing w:after="0"/>
            </w:pPr>
            <w:r>
              <w:rPr>
                <w:rFonts w:ascii="Calibri" w:hAnsi="Calibri"/>
                <w:b/>
                <w:i w:val="0"/>
                <w:color w:val="FFFFFF"/>
                <w:sz w:val="17"/>
              </w:rPr>
              <w:t>Signature practice</w:t>
            </w:r>
          </w:p>
        </w:tc>
        <w:tc>
          <w:tcPr>
            <w:tcW w:type="dxa" w:w="3231"/>
            <w:shd w:val="clear" w:color="auto" w:fill="123B4F"/>
            <w:tcMar>
              <w:top w:w="60" w:type="dxa"/>
              <w:bottom w:w="60" w:type="dxa"/>
              <w:start w:w="110" w:type="dxa"/>
              <w:end w:w="110" w:type="dxa"/>
            </w:tcMar>
          </w:tcPr>
          <w:p>
            <w:pPr>
              <w:spacing w:after="0"/>
            </w:pPr>
            <w:r>
              <w:rPr>
                <w:rFonts w:ascii="Calibri" w:hAnsi="Calibri"/>
                <w:b/>
                <w:i w:val="0"/>
                <w:color w:val="FFFFFF"/>
                <w:sz w:val="17"/>
              </w:rPr>
              <w:t>What Equator adopts</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7"/>
              </w:rPr>
              <w:t>UK FOS / Australia AFCA</w:t>
            </w:r>
          </w:p>
        </w:tc>
        <w:tc>
          <w:tcPr>
            <w:tcW w:type="dxa" w:w="3992"/>
            <w:tcMar>
              <w:top w:w="60" w:type="dxa"/>
              <w:bottom w:w="60" w:type="dxa"/>
              <w:start w:w="110" w:type="dxa"/>
              <w:end w:w="110" w:type="dxa"/>
            </w:tcMar>
          </w:tcPr>
          <w:p>
            <w:pPr>
              <w:spacing w:after="0"/>
              <w:jc w:val="left"/>
            </w:pPr>
            <w:r>
              <w:rPr>
                <w:rFonts w:ascii="Calibri" w:hAnsi="Calibri"/>
                <w:b w:val="0"/>
                <w:i w:val="0"/>
                <w:color w:val="1B2A32"/>
                <w:sz w:val="17"/>
              </w:rPr>
              <w:t>Free, accessible, consumer-fair ombudsman ADR</w:t>
            </w:r>
          </w:p>
        </w:tc>
        <w:tc>
          <w:tcPr>
            <w:tcW w:type="dxa" w:w="3231"/>
            <w:tcMar>
              <w:top w:w="60" w:type="dxa"/>
              <w:bottom w:w="60" w:type="dxa"/>
              <w:start w:w="110" w:type="dxa"/>
              <w:end w:w="110" w:type="dxa"/>
            </w:tcMar>
          </w:tcPr>
          <w:p>
            <w:pPr>
              <w:spacing w:after="0"/>
              <w:jc w:val="left"/>
            </w:pPr>
            <w:r>
              <w:rPr>
                <w:rFonts w:ascii="Calibri" w:hAnsi="Calibri"/>
                <w:b w:val="0"/>
                <w:i w:val="0"/>
                <w:color w:val="1B2A32"/>
                <w:sz w:val="17"/>
              </w:rPr>
              <w:t>Accessibility, plain language, borrower fairness</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US consumer-finance ADR</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Arbitration/mediation with consumer safeguards</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Fair process; no coerced settlements</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7"/>
              </w:rPr>
              <w:t>RBI Ombudsman (India)</w:t>
            </w:r>
          </w:p>
        </w:tc>
        <w:tc>
          <w:tcPr>
            <w:tcW w:type="dxa" w:w="3992"/>
            <w:tcMar>
              <w:top w:w="60" w:type="dxa"/>
              <w:bottom w:w="60" w:type="dxa"/>
              <w:start w:w="110" w:type="dxa"/>
              <w:end w:w="110" w:type="dxa"/>
            </w:tcMar>
          </w:tcPr>
          <w:p>
            <w:pPr>
              <w:spacing w:after="0"/>
              <w:jc w:val="left"/>
            </w:pPr>
            <w:r>
              <w:rPr>
                <w:rFonts w:ascii="Calibri" w:hAnsi="Calibri"/>
                <w:b w:val="0"/>
                <w:i w:val="0"/>
                <w:color w:val="1B2A32"/>
                <w:sz w:val="17"/>
              </w:rPr>
              <w:t>Cost-free grievance redress</w:t>
            </w:r>
          </w:p>
        </w:tc>
        <w:tc>
          <w:tcPr>
            <w:tcW w:type="dxa" w:w="3231"/>
            <w:tcMar>
              <w:top w:w="60" w:type="dxa"/>
              <w:bottom w:w="60" w:type="dxa"/>
              <w:start w:w="110" w:type="dxa"/>
              <w:end w:w="110" w:type="dxa"/>
            </w:tcMar>
          </w:tcPr>
          <w:p>
            <w:pPr>
              <w:spacing w:after="0"/>
              <w:jc w:val="left"/>
            </w:pPr>
            <w:r>
              <w:rPr>
                <w:rFonts w:ascii="Calibri" w:hAnsi="Calibri"/>
                <w:b w:val="0"/>
                <w:i w:val="0"/>
                <w:color w:val="1B2A32"/>
                <w:sz w:val="17"/>
              </w:rPr>
              <w:t>Complement it; mediate the underlying dispute</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NITI Aayog / UNCITRAL ODR</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Online, transparent, secure ODR</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ODR-native, AI-assisted platform</w:t>
            </w:r>
          </w:p>
        </w:tc>
      </w:tr>
    </w:tbl>
    <w:p>
      <w:pPr>
        <w:spacing w:after="80"/>
      </w:pPr>
    </w:p>
    <w:p>
      <w:pPr>
        <w:spacing w:before="20" w:after="200"/>
        <w:jc w:val="center"/>
      </w:pPr>
      <w:r>
        <w:rPr>
          <w:rFonts w:ascii="Calibri" w:hAnsi="Calibri"/>
          <w:b w:val="0"/>
          <w:i/>
          <w:color w:val="556168"/>
          <w:sz w:val="17"/>
        </w:rPr>
        <w:t>Table 11 — Global best practice mapped to Equator's Indian implementation.</w:t>
      </w:r>
    </w:p>
    <w:p>
      <w:pPr>
        <w:keepNext/>
        <w:spacing w:before="320" w:after="140"/>
        <w:pBdr>
          <w:bottom w:val="single" w:sz="12" w:space="3" w:color="C6A15B"/>
        </w:pBdr>
      </w:pPr>
      <w:r>
        <w:rPr>
          <w:rFonts w:ascii="Calibri" w:hAnsi="Calibri"/>
          <w:b/>
          <w:i w:val="0"/>
          <w:color w:val="123B4F"/>
          <w:sz w:val="34"/>
        </w:rPr>
        <w:t>31.  Getting Parties to the Table — the Clause-Insertion Engine</w:t>
      </w:r>
    </w:p>
    <w:p>
      <w:pPr>
        <w:spacing w:after="140"/>
        <w:jc w:val="both"/>
      </w:pPr>
      <w:r>
        <w:rPr>
          <w:rFonts w:ascii="Calibri" w:hAnsi="Calibri"/>
          <w:b w:val="0"/>
          <w:i w:val="0"/>
          <w:color w:val="1B2A32"/>
          <w:sz w:val="21"/>
        </w:rPr>
        <w:t xml:space="preserve">Equator's pipeline is built by being </w:t>
      </w:r>
      <w:r>
        <w:rPr>
          <w:rFonts w:ascii="Calibri" w:hAnsi="Calibri"/>
          <w:b/>
          <w:i w:val="0"/>
          <w:color w:val="1B2A32"/>
          <w:sz w:val="21"/>
        </w:rPr>
        <w:t>named in loan agreements</w:t>
      </w:r>
      <w:r>
        <w:rPr>
          <w:rFonts w:ascii="Calibri" w:hAnsi="Calibri"/>
          <w:b w:val="0"/>
          <w:i w:val="0"/>
          <w:color w:val="1B2A32"/>
          <w:sz w:val="21"/>
        </w:rPr>
        <w:t>. When an NBFC, bank or fintech embeds the Equator ADR/mediation clause (Form F-L19) in its standard loan documents, every future dispute under those loans can come to Equator — the group's flagship clause-insertion strategy, applied to lending. Court and Lok Adalat referrals, and the RBI grievance escalation, supply further volume. For borrowers, accessibility and fairness drive organic use and referrals.</w:t>
      </w:r>
    </w:p>
    <w:p>
      <w:pPr>
        <w:keepNext/>
        <w:spacing w:before="320" w:after="140"/>
        <w:pBdr>
          <w:bottom w:val="single" w:sz="12" w:space="3" w:color="C6A15B"/>
        </w:pBdr>
      </w:pPr>
      <w:r>
        <w:rPr>
          <w:rFonts w:ascii="Calibri" w:hAnsi="Calibri"/>
          <w:b/>
          <w:i w:val="0"/>
          <w:color w:val="123B4F"/>
          <w:sz w:val="34"/>
        </w:rPr>
        <w:t>32.  Better Outcomes — Beyond Recovery</w:t>
      </w:r>
    </w:p>
    <w:p>
      <w:pPr>
        <w:pStyle w:val="ListBullet"/>
        <w:spacing w:after="60"/>
        <w:jc w:val="both"/>
      </w:pPr>
      <w:r>
        <w:rPr>
          <w:rFonts w:ascii="Calibri" w:hAnsi="Calibri"/>
          <w:b/>
          <w:i w:val="0"/>
          <w:color w:val="123B4F"/>
          <w:sz w:val="21"/>
        </w:rPr>
        <w:t xml:space="preserve">Structured OTS: </w:t>
      </w:r>
      <w:r>
        <w:rPr>
          <w:rFonts w:ascii="Calibri" w:hAnsi="Calibri"/>
          <w:b w:val="0"/>
          <w:i w:val="0"/>
          <w:color w:val="1B2A32"/>
          <w:sz w:val="21"/>
        </w:rPr>
        <w:t>Waivers, instalments and escrow milestones that a borrower can actually meet — improving realisation.</w:t>
      </w:r>
    </w:p>
    <w:p>
      <w:pPr>
        <w:pStyle w:val="ListBullet"/>
        <w:spacing w:after="60"/>
        <w:jc w:val="both"/>
      </w:pPr>
      <w:r>
        <w:rPr>
          <w:rFonts w:ascii="Calibri" w:hAnsi="Calibri"/>
          <w:b/>
          <w:i w:val="0"/>
          <w:color w:val="123B4F"/>
          <w:sz w:val="21"/>
        </w:rPr>
        <w:t xml:space="preserve">Credit-bureau correction: </w:t>
      </w:r>
      <w:r>
        <w:rPr>
          <w:rFonts w:ascii="Calibri" w:hAnsi="Calibri"/>
          <w:b w:val="0"/>
          <w:i w:val="0"/>
          <w:color w:val="1B2A32"/>
          <w:sz w:val="21"/>
        </w:rPr>
        <w:t>Baking the CIBIL/CRIF update into the settlement restores the borrower and closes the loop.</w:t>
      </w:r>
    </w:p>
    <w:p>
      <w:pPr>
        <w:pStyle w:val="ListBullet"/>
        <w:spacing w:after="60"/>
        <w:jc w:val="both"/>
      </w:pPr>
      <w:r>
        <w:rPr>
          <w:rFonts w:ascii="Calibri" w:hAnsi="Calibri"/>
          <w:b/>
          <w:i w:val="0"/>
          <w:color w:val="123B4F"/>
          <w:sz w:val="21"/>
        </w:rPr>
        <w:t xml:space="preserve">Financial counselling &amp; literacy: </w:t>
      </w:r>
      <w:r>
        <w:rPr>
          <w:rFonts w:ascii="Calibri" w:hAnsi="Calibri"/>
          <w:b w:val="0"/>
          <w:i w:val="0"/>
          <w:color w:val="1B2A32"/>
          <w:sz w:val="21"/>
        </w:rPr>
        <w:t>Signposting to debt-counselling and budgeting reduces relapse into default.</w:t>
      </w:r>
    </w:p>
    <w:p>
      <w:pPr>
        <w:pStyle w:val="ListBullet"/>
        <w:spacing w:after="60"/>
        <w:jc w:val="both"/>
      </w:pPr>
      <w:r>
        <w:rPr>
          <w:rFonts w:ascii="Calibri" w:hAnsi="Calibri"/>
          <w:b/>
          <w:i w:val="0"/>
          <w:color w:val="123B4F"/>
          <w:sz w:val="21"/>
        </w:rPr>
        <w:t xml:space="preserve">Harassment resolution: </w:t>
      </w:r>
      <w:r>
        <w:rPr>
          <w:rFonts w:ascii="Calibri" w:hAnsi="Calibri"/>
          <w:b w:val="0"/>
          <w:i w:val="0"/>
          <w:color w:val="1B2A32"/>
          <w:sz w:val="21"/>
        </w:rPr>
        <w:t>Stopping coercive recovery while settling the debt — protecting the borrower and de-risking the lender.</w:t>
      </w:r>
    </w:p>
    <w:p>
      <w:pPr>
        <w:pStyle w:val="ListBullet"/>
        <w:spacing w:after="60"/>
        <w:jc w:val="both"/>
      </w:pPr>
      <w:r>
        <w:rPr>
          <w:rFonts w:ascii="Calibri" w:hAnsi="Calibri"/>
          <w:b/>
          <w:i w:val="0"/>
          <w:color w:val="123B4F"/>
          <w:sz w:val="21"/>
        </w:rPr>
        <w:t xml:space="preserve">Bulk / portfolio settlement: </w:t>
      </w:r>
      <w:r>
        <w:rPr>
          <w:rFonts w:ascii="Calibri" w:hAnsi="Calibri"/>
          <w:b w:val="0"/>
          <w:i w:val="0"/>
          <w:color w:val="1B2A32"/>
          <w:sz w:val="21"/>
        </w:rPr>
        <w:t>Handling lenders' portfolios of small defaults efficiently through templated mediation and Lok Adalat.</w:t>
      </w:r>
    </w:p>
    <w:p>
      <w:pPr>
        <w:spacing w:after="40"/>
      </w:pPr>
    </w:p>
    <w:p>
      <w:pPr>
        <w:keepNext/>
        <w:spacing w:before="320" w:after="140"/>
        <w:pBdr>
          <w:bottom w:val="single" w:sz="12" w:space="3" w:color="C6A15B"/>
        </w:pBdr>
      </w:pPr>
      <w:r>
        <w:rPr>
          <w:rFonts w:ascii="Calibri" w:hAnsi="Calibri"/>
          <w:b/>
          <w:i w:val="0"/>
          <w:color w:val="123B4F"/>
          <w:sz w:val="34"/>
        </w:rPr>
        <w:t>33.  Measuring Resolution Quality</w:t>
      </w:r>
    </w:p>
    <w:p>
      <w:pPr>
        <w:spacing w:after="140"/>
        <w:jc w:val="both"/>
      </w:pPr>
      <w:r>
        <w:rPr>
          <w:rFonts w:ascii="Calibri" w:hAnsi="Calibri"/>
          <w:b w:val="0"/>
          <w:i w:val="0"/>
          <w:color w:val="1B2A32"/>
          <w:sz w:val="21"/>
        </w:rPr>
        <w:t xml:space="preserve">Beyond settlement rate, Equator measures </w:t>
      </w:r>
      <w:r>
        <w:rPr>
          <w:rFonts w:ascii="Calibri" w:hAnsi="Calibri"/>
          <w:b/>
          <w:i w:val="0"/>
          <w:color w:val="1B2A32"/>
          <w:sz w:val="21"/>
        </w:rPr>
        <w:t>durability</w:t>
      </w:r>
      <w:r>
        <w:rPr>
          <w:rFonts w:ascii="Calibri" w:hAnsi="Calibri"/>
          <w:b w:val="0"/>
          <w:i w:val="0"/>
          <w:color w:val="1B2A32"/>
          <w:sz w:val="21"/>
        </w:rPr>
        <w:t xml:space="preserve"> (settlements honoured; no re-default within 12 months), </w:t>
      </w:r>
      <w:r>
        <w:rPr>
          <w:rFonts w:ascii="Calibri" w:hAnsi="Calibri"/>
          <w:b/>
          <w:i w:val="0"/>
          <w:color w:val="1B2A32"/>
          <w:sz w:val="21"/>
        </w:rPr>
        <w:t>realisation</w:t>
      </w:r>
      <w:r>
        <w:rPr>
          <w:rFonts w:ascii="Calibri" w:hAnsi="Calibri"/>
          <w:b w:val="0"/>
          <w:i w:val="0"/>
          <w:color w:val="1B2A32"/>
          <w:sz w:val="21"/>
        </w:rPr>
        <w:t xml:space="preserve"> (recovery for lenders), </w:t>
      </w:r>
      <w:r>
        <w:rPr>
          <w:rFonts w:ascii="Calibri" w:hAnsi="Calibri"/>
          <w:b/>
          <w:i w:val="0"/>
          <w:color w:val="1B2A32"/>
          <w:sz w:val="21"/>
        </w:rPr>
        <w:t>fairness</w:t>
      </w:r>
      <w:r>
        <w:rPr>
          <w:rFonts w:ascii="Calibri" w:hAnsi="Calibri"/>
          <w:b w:val="0"/>
          <w:i w:val="0"/>
          <w:color w:val="1B2A32"/>
          <w:sz w:val="21"/>
        </w:rPr>
        <w:t xml:space="preserve"> (borrower satisfaction; no coercion), </w:t>
      </w:r>
      <w:r>
        <w:rPr>
          <w:rFonts w:ascii="Calibri" w:hAnsi="Calibri"/>
          <w:b/>
          <w:i w:val="0"/>
          <w:color w:val="1B2A32"/>
          <w:sz w:val="21"/>
        </w:rPr>
        <w:t>credit-record repair</w:t>
      </w:r>
      <w:r>
        <w:rPr>
          <w:rFonts w:ascii="Calibri" w:hAnsi="Calibri"/>
          <w:b w:val="0"/>
          <w:i w:val="0"/>
          <w:color w:val="1B2A32"/>
          <w:sz w:val="21"/>
        </w:rPr>
        <w:t xml:space="preserve"> (corrections completed), and </w:t>
      </w:r>
      <w:r>
        <w:rPr>
          <w:rFonts w:ascii="Calibri" w:hAnsi="Calibri"/>
          <w:b/>
          <w:i w:val="0"/>
          <w:color w:val="1B2A32"/>
          <w:sz w:val="21"/>
        </w:rPr>
        <w:t>access</w:t>
      </w:r>
      <w:r>
        <w:rPr>
          <w:rFonts w:ascii="Calibri" w:hAnsi="Calibri"/>
          <w:b w:val="0"/>
          <w:i w:val="0"/>
          <w:color w:val="1B2A32"/>
          <w:sz w:val="21"/>
        </w:rPr>
        <w:t xml:space="preserve"> (participation, time-to-first-session, concessional uptake). These feed a learning loop and the anonymised settlement bank.</w:t>
      </w:r>
    </w:p>
    <w:p>
      <w:r>
        <w:br w:type="page"/>
      </w:r>
    </w:p>
    <w:p>
      <w:pPr>
        <w:spacing w:before="600" w:after="40"/>
      </w:pPr>
      <w:r>
        <w:rPr>
          <w:rFonts w:ascii="Calibri" w:hAnsi="Calibri"/>
          <w:b/>
          <w:i w:val="0"/>
          <w:color w:val="C6A15B"/>
          <w:sz w:val="26"/>
        </w:rPr>
        <w:t>PART F</w:t>
      </w:r>
    </w:p>
    <w:p>
      <w:pPr>
        <w:spacing w:after="200"/>
        <w:pBdr>
          <w:bottom w:val="single" w:sz="18" w:space="3" w:color="1E7A8C"/>
        </w:pBdr>
      </w:pPr>
      <w:r>
        <w:rPr>
          <w:rFonts w:ascii="Calibri" w:hAnsi="Calibri"/>
          <w:b/>
          <w:i w:val="0"/>
          <w:color w:val="123B4F"/>
          <w:sz w:val="46"/>
        </w:rPr>
        <w:t>Technology — AI, ODR, e-Sign, e-Stamp &amp; Forum Integration</w:t>
      </w:r>
    </w:p>
    <w:p>
      <w:pPr>
        <w:keepNext/>
        <w:spacing w:before="320" w:after="140"/>
        <w:pBdr>
          <w:bottom w:val="single" w:sz="12" w:space="3" w:color="C6A15B"/>
        </w:pBdr>
      </w:pPr>
      <w:r>
        <w:rPr>
          <w:rFonts w:ascii="Calibri" w:hAnsi="Calibri"/>
          <w:b/>
          <w:i w:val="0"/>
          <w:color w:val="123B4F"/>
          <w:sz w:val="34"/>
        </w:rPr>
        <w:t>34.  The AI-Assisted Loan Dispute Explorer</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The AI front door for borrowers and lenders: it explains the </w:t>
            </w:r>
            <w:r>
              <w:rPr>
                <w:rFonts w:ascii="Calibri" w:hAnsi="Calibri"/>
                <w:b/>
                <w:i w:val="0"/>
                <w:color w:val="1B2A32"/>
                <w:sz w:val="20"/>
              </w:rPr>
              <w:t>right route</w:t>
            </w:r>
            <w:r>
              <w:rPr>
                <w:rFonts w:ascii="Calibri" w:hAnsi="Calibri"/>
                <w:b w:val="0"/>
                <w:i w:val="0"/>
                <w:color w:val="1B2A32"/>
                <w:sz w:val="20"/>
              </w:rPr>
              <w:t xml:space="preserve"> (grievance/Ombudsman vs DRT vs mediation vs NI-138), the borrower's </w:t>
            </w:r>
            <w:r>
              <w:rPr>
                <w:rFonts w:ascii="Calibri" w:hAnsi="Calibri"/>
                <w:b/>
                <w:i w:val="0"/>
                <w:color w:val="1B2A32"/>
                <w:sz w:val="20"/>
              </w:rPr>
              <w:t>rights</w:t>
            </w:r>
            <w:r>
              <w:rPr>
                <w:rFonts w:ascii="Calibri" w:hAnsi="Calibri"/>
                <w:b w:val="0"/>
                <w:i w:val="0"/>
                <w:color w:val="1B2A32"/>
                <w:sz w:val="20"/>
              </w:rPr>
              <w:t xml:space="preserve"> (RBI rules, recovery-agent conduct), estimates a </w:t>
            </w:r>
            <w:r>
              <w:rPr>
                <w:rFonts w:ascii="Calibri" w:hAnsi="Calibri"/>
                <w:b/>
                <w:i w:val="0"/>
                <w:color w:val="1B2A32"/>
                <w:sz w:val="20"/>
              </w:rPr>
              <w:t>settlement/OTS</w:t>
            </w:r>
            <w:r>
              <w:rPr>
                <w:rFonts w:ascii="Calibri" w:hAnsi="Calibri"/>
                <w:b w:val="0"/>
                <w:i w:val="0"/>
                <w:color w:val="1B2A32"/>
                <w:sz w:val="20"/>
              </w:rPr>
              <w:t xml:space="preserve">, and </w:t>
            </w:r>
            <w:r>
              <w:rPr>
                <w:rFonts w:ascii="Calibri" w:hAnsi="Calibri"/>
                <w:b/>
                <w:i w:val="0"/>
                <w:color w:val="1B2A32"/>
                <w:sz w:val="20"/>
              </w:rPr>
              <w:t>drafts</w:t>
            </w:r>
            <w:r>
              <w:rPr>
                <w:rFonts w:ascii="Calibri" w:hAnsi="Calibri"/>
                <w:b w:val="0"/>
                <w:i w:val="0"/>
                <w:color w:val="1B2A32"/>
                <w:sz w:val="20"/>
              </w:rPr>
              <w:t xml:space="preserve"> the complaint or request — always as a reviewable draft, not legal advice.</w:t>
            </w:r>
          </w:p>
        </w:tc>
      </w:tr>
    </w:tbl>
    <w:p>
      <w:pPr>
        <w:spacing w:after="120"/>
      </w:pPr>
    </w:p>
    <w:p>
      <w:pPr>
        <w:spacing w:after="140"/>
        <w:jc w:val="both"/>
      </w:pPr>
      <w:r>
        <w:rPr>
          <w:rFonts w:ascii="Calibri" w:hAnsi="Calibri"/>
          <w:b w:val="0"/>
          <w:i w:val="0"/>
          <w:color w:val="1B2A32"/>
          <w:sz w:val="21"/>
        </w:rPr>
        <w:t xml:space="preserve">The AI assistant is grounded on Equator's rules and the framework in this Blueprint. For a user it provides: </w:t>
      </w:r>
      <w:r>
        <w:rPr>
          <w:rFonts w:ascii="Calibri" w:hAnsi="Calibri"/>
          <w:b/>
          <w:i w:val="0"/>
          <w:color w:val="1B2A32"/>
          <w:sz w:val="21"/>
        </w:rPr>
        <w:t>route/mechanism guidance</w:t>
      </w:r>
      <w:r>
        <w:rPr>
          <w:rFonts w:ascii="Calibri" w:hAnsi="Calibri"/>
          <w:b w:val="0"/>
          <w:i w:val="0"/>
          <w:color w:val="1B2A32"/>
          <w:sz w:val="21"/>
        </w:rPr>
        <w:t xml:space="preserve"> (Ombudsman, DRT, mediation, NI-138, arbitration, consumer, Lok Adalat); </w:t>
      </w:r>
      <w:r>
        <w:rPr>
          <w:rFonts w:ascii="Calibri" w:hAnsi="Calibri"/>
          <w:b/>
          <w:i w:val="0"/>
          <w:color w:val="1B2A32"/>
          <w:sz w:val="21"/>
        </w:rPr>
        <w:t>rights and options</w:t>
      </w:r>
      <w:r>
        <w:rPr>
          <w:rFonts w:ascii="Calibri" w:hAnsi="Calibri"/>
          <w:b w:val="0"/>
          <w:i w:val="0"/>
          <w:color w:val="1B2A32"/>
          <w:sz w:val="21"/>
        </w:rPr>
        <w:t xml:space="preserve"> (RBI Fair Practices, recovery-agent limits, digital-lending protections); an </w:t>
      </w:r>
      <w:r>
        <w:rPr>
          <w:rFonts w:ascii="Calibri" w:hAnsi="Calibri"/>
          <w:b/>
          <w:i w:val="0"/>
          <w:color w:val="1B2A32"/>
          <w:sz w:val="21"/>
        </w:rPr>
        <w:t>OTS/settlement estimate</w:t>
      </w:r>
      <w:r>
        <w:rPr>
          <w:rFonts w:ascii="Calibri" w:hAnsi="Calibri"/>
          <w:b w:val="0"/>
          <w:i w:val="0"/>
          <w:color w:val="1B2A32"/>
          <w:sz w:val="21"/>
        </w:rPr>
        <w:t xml:space="preserve">; and </w:t>
      </w:r>
      <w:r>
        <w:rPr>
          <w:rFonts w:ascii="Calibri" w:hAnsi="Calibri"/>
          <w:b/>
          <w:i w:val="0"/>
          <w:color w:val="1B2A32"/>
          <w:sz w:val="21"/>
        </w:rPr>
        <w:t>drafting help</w:t>
      </w:r>
      <w:r>
        <w:rPr>
          <w:rFonts w:ascii="Calibri" w:hAnsi="Calibri"/>
          <w:b w:val="0"/>
          <w:i w:val="0"/>
          <w:color w:val="1B2A32"/>
          <w:sz w:val="21"/>
        </w:rPr>
        <w:t xml:space="preserve"> for a borrower grievance, a request for resolution, or a statement of claim. For the case manager and neutral it drafts notices, computes settlement options and interest, and summarises documents — always under human control. It </w:t>
      </w:r>
      <w:r>
        <w:rPr>
          <w:rFonts w:ascii="Calibri" w:hAnsi="Calibri"/>
          <w:b/>
          <w:i w:val="0"/>
          <w:color w:val="1B2A32"/>
          <w:sz w:val="21"/>
        </w:rPr>
        <w:t>informs, it does not advise</w:t>
      </w:r>
      <w:r>
        <w:rPr>
          <w:rFonts w:ascii="Calibri" w:hAnsi="Calibri"/>
          <w:b w:val="0"/>
          <w:i w:val="0"/>
          <w:color w:val="1B2A32"/>
          <w:sz w:val="21"/>
        </w:rPr>
        <w:t>, and it is especially careful not to give a borrower or lender case-specific legal advice.</w:t>
      </w:r>
    </w:p>
    <w:p>
      <w:pPr>
        <w:spacing w:before="80" w:after="40"/>
        <w:jc w:val="center"/>
      </w:pPr>
      <w:r>
        <w:drawing>
          <wp:inline xmlns:a="http://schemas.openxmlformats.org/drawingml/2006/main" xmlns:pic="http://schemas.openxmlformats.org/drawingml/2006/picture">
            <wp:extent cx="5760720" cy="3098676"/>
            <wp:docPr id="10" name="Picture 10"/>
            <wp:cNvGraphicFramePr>
              <a:graphicFrameLocks noChangeAspect="1"/>
            </wp:cNvGraphicFramePr>
            <a:graphic>
              <a:graphicData uri="http://schemas.openxmlformats.org/drawingml/2006/picture">
                <pic:pic>
                  <pic:nvPicPr>
                    <pic:cNvPr id="0" name="fl08_ai_explorer.png"/>
                    <pic:cNvPicPr/>
                  </pic:nvPicPr>
                  <pic:blipFill>
                    <a:blip r:embed="rId17"/>
                    <a:stretch>
                      <a:fillRect/>
                    </a:stretch>
                  </pic:blipFill>
                  <pic:spPr>
                    <a:xfrm>
                      <a:off x="0" y="0"/>
                      <a:ext cx="5760720" cy="3098676"/>
                    </a:xfrm>
                    <a:prstGeom prst="rect"/>
                  </pic:spPr>
                </pic:pic>
              </a:graphicData>
            </a:graphic>
          </wp:inline>
        </w:drawing>
      </w:r>
    </w:p>
    <w:p>
      <w:pPr>
        <w:spacing w:before="20" w:after="200"/>
        <w:jc w:val="center"/>
      </w:pPr>
      <w:r>
        <w:rPr>
          <w:rFonts w:ascii="Calibri" w:hAnsi="Calibri"/>
          <w:b w:val="0"/>
          <w:i/>
          <w:color w:val="556168"/>
          <w:sz w:val="17"/>
        </w:rPr>
        <w:t>Figure 10 — The AI-assisted loan Dispute Explorer: route guidance, rights, OTS estimate, drafting.</w:t>
      </w:r>
    </w:p>
    <w:p>
      <w:pPr>
        <w:keepNext/>
        <w:spacing w:before="320" w:after="140"/>
        <w:pBdr>
          <w:bottom w:val="single" w:sz="12" w:space="3" w:color="C6A15B"/>
        </w:pBdr>
      </w:pPr>
      <w:r>
        <w:rPr>
          <w:rFonts w:ascii="Calibri" w:hAnsi="Calibri"/>
          <w:b/>
          <w:i w:val="0"/>
          <w:color w:val="123B4F"/>
          <w:sz w:val="34"/>
        </w:rPr>
        <w:t>35.  AI Governance, Guardrails &amp; Data Protection</w:t>
      </w:r>
    </w:p>
    <w:p>
      <w:pPr>
        <w:pStyle w:val="ListBullet"/>
        <w:spacing w:after="60"/>
        <w:jc w:val="both"/>
      </w:pPr>
      <w:r>
        <w:rPr>
          <w:rFonts w:ascii="Calibri" w:hAnsi="Calibri"/>
          <w:b/>
          <w:i w:val="0"/>
          <w:color w:val="123B4F"/>
          <w:sz w:val="21"/>
        </w:rPr>
        <w:t xml:space="preserve">Information, not legal advice: </w:t>
      </w:r>
      <w:r>
        <w:rPr>
          <w:rFonts w:ascii="Calibri" w:hAnsi="Calibri"/>
          <w:b w:val="0"/>
          <w:i w:val="0"/>
          <w:color w:val="1B2A32"/>
          <w:sz w:val="21"/>
        </w:rPr>
        <w:t>General information + route guidance; prompts to consult counsel; no UPL.</w:t>
      </w:r>
    </w:p>
    <w:p>
      <w:pPr>
        <w:pStyle w:val="ListBullet"/>
        <w:spacing w:after="60"/>
        <w:jc w:val="both"/>
      </w:pPr>
      <w:r>
        <w:rPr>
          <w:rFonts w:ascii="Calibri" w:hAnsi="Calibri"/>
          <w:b/>
          <w:i w:val="0"/>
          <w:color w:val="123B4F"/>
          <w:sz w:val="21"/>
        </w:rPr>
        <w:t xml:space="preserve">Human-in-the-loop: </w:t>
      </w:r>
      <w:r>
        <w:rPr>
          <w:rFonts w:ascii="Calibri" w:hAnsi="Calibri"/>
          <w:b w:val="0"/>
          <w:i w:val="0"/>
          <w:color w:val="1B2A32"/>
          <w:sz w:val="21"/>
        </w:rPr>
        <w:t>Every draft is reviewed and owned by a human.</w:t>
      </w:r>
    </w:p>
    <w:p>
      <w:pPr>
        <w:pStyle w:val="ListBullet"/>
        <w:spacing w:after="60"/>
        <w:jc w:val="both"/>
      </w:pPr>
      <w:r>
        <w:rPr>
          <w:rFonts w:ascii="Calibri" w:hAnsi="Calibri"/>
          <w:b/>
          <w:i w:val="0"/>
          <w:color w:val="123B4F"/>
          <w:sz w:val="21"/>
        </w:rPr>
        <w:t xml:space="preserve">Neutrality &amp; borrower fairness: </w:t>
      </w:r>
      <w:r>
        <w:rPr>
          <w:rFonts w:ascii="Calibri" w:hAnsi="Calibri"/>
          <w:b w:val="0"/>
          <w:i w:val="0"/>
          <w:color w:val="1B2A32"/>
          <w:sz w:val="21"/>
        </w:rPr>
        <w:t>Helps both sides; never coaches coercive recovery or an unfair settlement.</w:t>
      </w:r>
    </w:p>
    <w:p>
      <w:pPr>
        <w:pStyle w:val="ListBullet"/>
        <w:spacing w:after="60"/>
        <w:jc w:val="both"/>
      </w:pPr>
      <w:r>
        <w:rPr>
          <w:rFonts w:ascii="Calibri" w:hAnsi="Calibri"/>
          <w:b/>
          <w:i w:val="0"/>
          <w:color w:val="123B4F"/>
          <w:sz w:val="21"/>
        </w:rPr>
        <w:t xml:space="preserve">Grounded &amp; cited: </w:t>
      </w:r>
      <w:r>
        <w:rPr>
          <w:rFonts w:ascii="Calibri" w:hAnsi="Calibri"/>
          <w:b w:val="0"/>
          <w:i w:val="0"/>
          <w:color w:val="1B2A32"/>
          <w:sz w:val="21"/>
        </w:rPr>
        <w:t>Retrieval-augmented over Equator rules and this Blueprint; refuses/defers when unsure.</w:t>
      </w:r>
    </w:p>
    <w:p>
      <w:pPr>
        <w:pStyle w:val="ListBullet"/>
        <w:spacing w:after="60"/>
        <w:jc w:val="both"/>
      </w:pPr>
      <w:r>
        <w:rPr>
          <w:rFonts w:ascii="Calibri" w:hAnsi="Calibri"/>
          <w:b/>
          <w:i w:val="0"/>
          <w:color w:val="123B4F"/>
          <w:sz w:val="21"/>
        </w:rPr>
        <w:t xml:space="preserve">Confidential by design: </w:t>
      </w:r>
      <w:r>
        <w:rPr>
          <w:rFonts w:ascii="Calibri" w:hAnsi="Calibri"/>
          <w:b w:val="0"/>
          <w:i w:val="0"/>
          <w:color w:val="1B2A32"/>
          <w:sz w:val="21"/>
        </w:rPr>
        <w:t>Within the confidentiality wall; per-party data isolation.</w:t>
      </w:r>
    </w:p>
    <w:p>
      <w:pPr>
        <w:pStyle w:val="ListBullet"/>
        <w:spacing w:after="60"/>
        <w:jc w:val="both"/>
      </w:pPr>
      <w:r>
        <w:rPr>
          <w:rFonts w:ascii="Calibri" w:hAnsi="Calibri"/>
          <w:b/>
          <w:i w:val="0"/>
          <w:color w:val="123B4F"/>
          <w:sz w:val="21"/>
        </w:rPr>
        <w:t xml:space="preserve">DPDP-compliant: </w:t>
      </w:r>
      <w:r>
        <w:rPr>
          <w:rFonts w:ascii="Calibri" w:hAnsi="Calibri"/>
          <w:b w:val="0"/>
          <w:i w:val="0"/>
          <w:color w:val="1B2A32"/>
          <w:sz w:val="21"/>
        </w:rPr>
        <w:t>Consent; minimisation; no training on personal/financial data without consent; audit logs.</w:t>
      </w:r>
    </w:p>
    <w:p>
      <w:pPr>
        <w:spacing w:after="40"/>
      </w:pP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Financial AI risks: giving disguised legal/financial advice, enabling coercive recovery, and mishandling sensitive financial data. The guardrails target these; the AI defers to a human when unsure.</w:t>
            </w:r>
          </w:p>
        </w:tc>
      </w:tr>
    </w:tbl>
    <w:p>
      <w:pPr>
        <w:spacing w:after="120"/>
      </w:pPr>
    </w:p>
    <w:p>
      <w:pPr>
        <w:keepNext/>
        <w:spacing w:before="320" w:after="140"/>
        <w:pBdr>
          <w:bottom w:val="single" w:sz="12" w:space="3" w:color="C6A15B"/>
        </w:pBdr>
      </w:pPr>
      <w:r>
        <w:rPr>
          <w:rFonts w:ascii="Calibri" w:hAnsi="Calibri"/>
          <w:b/>
          <w:i w:val="0"/>
          <w:color w:val="123B4F"/>
          <w:sz w:val="34"/>
        </w:rPr>
        <w:t>36.  Online Dispute Resolution (ODR)</w:t>
      </w:r>
    </w:p>
    <w:p>
      <w:pPr>
        <w:spacing w:after="140"/>
        <w:jc w:val="both"/>
      </w:pPr>
      <w:r>
        <w:rPr>
          <w:rFonts w:ascii="Calibri" w:hAnsi="Calibri"/>
          <w:b w:val="0"/>
          <w:i w:val="0"/>
          <w:color w:val="1B2A32"/>
          <w:sz w:val="21"/>
        </w:rPr>
        <w:t xml:space="preserve">Equator is ODR-native: asynchronous exchange, secure video sessions with private caucus, a permissioned case room, and </w:t>
      </w:r>
      <w:r>
        <w:rPr>
          <w:rFonts w:ascii="Calibri" w:hAnsi="Calibri"/>
          <w:b/>
          <w:i w:val="0"/>
          <w:color w:val="1B2A32"/>
          <w:sz w:val="21"/>
        </w:rPr>
        <w:t>documents-only / fast tracks</w:t>
      </w:r>
      <w:r>
        <w:rPr>
          <w:rFonts w:ascii="Calibri" w:hAnsi="Calibri"/>
          <w:b w:val="0"/>
          <w:i w:val="0"/>
          <w:color w:val="1B2A32"/>
          <w:sz w:val="21"/>
        </w:rPr>
        <w:t xml:space="preserve"> for high-volume small matters (cheque bounce, small loans). The design follows the UNCITRAL ODR Technical Notes and NITI Aayog's ODR push — ideal for the scale and geographic spread of financial disputes, and for low-bandwidth, mobile-first, vernacular access.</w:t>
      </w:r>
    </w:p>
    <w:p>
      <w:pPr>
        <w:keepNext/>
        <w:spacing w:before="320" w:after="140"/>
        <w:pBdr>
          <w:bottom w:val="single" w:sz="12" w:space="3" w:color="C6A15B"/>
        </w:pBdr>
      </w:pPr>
      <w:r>
        <w:rPr>
          <w:rFonts w:ascii="Calibri" w:hAnsi="Calibri"/>
          <w:b/>
          <w:i w:val="0"/>
          <w:color w:val="123B4F"/>
          <w:sz w:val="34"/>
        </w:rPr>
        <w:t>37.  Paperless Filing &amp; e-Signature</w:t>
      </w:r>
    </w:p>
    <w:p>
      <w:pPr>
        <w:spacing w:after="140"/>
        <w:jc w:val="both"/>
      </w:pPr>
      <w:r>
        <w:rPr>
          <w:rFonts w:ascii="Calibri" w:hAnsi="Calibri"/>
          <w:b w:val="0"/>
          <w:i w:val="0"/>
          <w:color w:val="1B2A32"/>
          <w:sz w:val="21"/>
        </w:rPr>
        <w:t xml:space="preserve">Every filing and settlement can be completed online and executed with </w:t>
      </w:r>
      <w:r>
        <w:rPr>
          <w:rFonts w:ascii="Calibri" w:hAnsi="Calibri"/>
          <w:b/>
          <w:i w:val="0"/>
          <w:color w:val="1B2A32"/>
          <w:sz w:val="21"/>
        </w:rPr>
        <w:t>Aadhaar e-Sign</w:t>
      </w:r>
      <w:r>
        <w:rPr>
          <w:rFonts w:ascii="Calibri" w:hAnsi="Calibri"/>
          <w:b w:val="0"/>
          <w:i w:val="0"/>
          <w:color w:val="1B2A32"/>
          <w:sz w:val="21"/>
        </w:rPr>
        <w:t xml:space="preserve"> or DSC (IT Act, 2000, s.3A and Second Schedule), with an audit trail and Section 65B admissibility. This suits high-volume, remote, small-value financial matters especially well.</w:t>
      </w:r>
    </w:p>
    <w:p>
      <w:pPr>
        <w:keepNext/>
        <w:spacing w:before="320" w:after="140"/>
        <w:pBdr>
          <w:bottom w:val="single" w:sz="12" w:space="3" w:color="C6A15B"/>
        </w:pBdr>
      </w:pPr>
      <w:r>
        <w:rPr>
          <w:rFonts w:ascii="Calibri" w:hAnsi="Calibri"/>
          <w:b/>
          <w:i w:val="0"/>
          <w:color w:val="123B4F"/>
          <w:sz w:val="34"/>
        </w:rPr>
        <w:t>38.  On-Platform Execution: e-Stamp &amp; Registration</w:t>
      </w:r>
    </w:p>
    <w:p>
      <w:pPr>
        <w:spacing w:after="140"/>
        <w:jc w:val="both"/>
      </w:pPr>
      <w:r>
        <w:rPr>
          <w:rFonts w:ascii="Calibri" w:hAnsi="Calibri"/>
          <w:b w:val="0"/>
          <w:i w:val="0"/>
          <w:color w:val="1B2A32"/>
          <w:sz w:val="21"/>
        </w:rPr>
        <w:t xml:space="preserve">Settlement agreements are </w:t>
      </w:r>
      <w:r>
        <w:rPr>
          <w:rFonts w:ascii="Calibri" w:hAnsi="Calibri"/>
          <w:b/>
          <w:i w:val="0"/>
          <w:color w:val="1B2A32"/>
          <w:sz w:val="21"/>
        </w:rPr>
        <w:t>e-stamped</w:t>
      </w:r>
      <w:r>
        <w:rPr>
          <w:rFonts w:ascii="Calibri" w:hAnsi="Calibri"/>
          <w:b w:val="0"/>
          <w:i w:val="0"/>
          <w:color w:val="1B2A32"/>
          <w:sz w:val="21"/>
        </w:rPr>
        <w:t xml:space="preserve"> on the platform (SHCIL) and, where applicable, registered (s.20). A Lok Adalat award needs no stamp duty. The result is an end-to-end digital journey — file, resolve, sign, stamp, close — with the No-Dues/NOC issued digitally.</w:t>
      </w:r>
    </w:p>
    <w:p>
      <w:pPr>
        <w:keepNext/>
        <w:spacing w:before="320" w:after="140"/>
        <w:pBdr>
          <w:bottom w:val="single" w:sz="12" w:space="3" w:color="C6A15B"/>
        </w:pBdr>
      </w:pPr>
      <w:r>
        <w:rPr>
          <w:rFonts w:ascii="Calibri" w:hAnsi="Calibri"/>
          <w:b/>
          <w:i w:val="0"/>
          <w:color w:val="123B4F"/>
          <w:sz w:val="34"/>
        </w:rPr>
        <w:t>39.  Integration with Forums (Ombudsman, DRT, Lok Adalat, Courts)</w:t>
      </w:r>
    </w:p>
    <w:p>
      <w:pPr>
        <w:spacing w:after="140"/>
        <w:jc w:val="both"/>
      </w:pPr>
      <w:r>
        <w:rPr>
          <w:rFonts w:ascii="Calibri" w:hAnsi="Calibri"/>
          <w:b w:val="0"/>
          <w:i w:val="0"/>
          <w:color w:val="1B2A32"/>
          <w:sz w:val="21"/>
        </w:rPr>
        <w:t xml:space="preserve">Equator interoperates with the financial-dispute ecosystem: </w:t>
      </w:r>
      <w:r>
        <w:rPr>
          <w:rFonts w:ascii="Calibri" w:hAnsi="Calibri"/>
          <w:b/>
          <w:i w:val="0"/>
          <w:color w:val="1B2A32"/>
          <w:sz w:val="21"/>
        </w:rPr>
        <w:t>guided referral</w:t>
      </w:r>
      <w:r>
        <w:rPr>
          <w:rFonts w:ascii="Calibri" w:hAnsi="Calibri"/>
          <w:b w:val="0"/>
          <w:i w:val="0"/>
          <w:color w:val="1B2A32"/>
          <w:sz w:val="21"/>
        </w:rPr>
        <w:t xml:space="preserve"> to the RBI Ombudsman (CMS) and the DRT where those forums apply; </w:t>
      </w:r>
      <w:r>
        <w:rPr>
          <w:rFonts w:ascii="Calibri" w:hAnsi="Calibri"/>
          <w:b/>
          <w:i w:val="0"/>
          <w:color w:val="1B2A32"/>
          <w:sz w:val="21"/>
        </w:rPr>
        <w:t>Lok Adalat</w:t>
      </w:r>
      <w:r>
        <w:rPr>
          <w:rFonts w:ascii="Calibri" w:hAnsi="Calibri"/>
          <w:b w:val="0"/>
          <w:i w:val="0"/>
          <w:color w:val="1B2A32"/>
          <w:sz w:val="21"/>
        </w:rPr>
        <w:t xml:space="preserve"> scheduling to convert settlements into decrees; </w:t>
      </w:r>
      <w:r>
        <w:rPr>
          <w:rFonts w:ascii="Calibri" w:hAnsi="Calibri"/>
          <w:b/>
          <w:i w:val="0"/>
          <w:color w:val="1B2A32"/>
          <w:sz w:val="21"/>
        </w:rPr>
        <w:t>court</w:t>
      </w:r>
      <w:r>
        <w:rPr>
          <w:rFonts w:ascii="Calibri" w:hAnsi="Calibri"/>
          <w:b w:val="0"/>
          <w:i w:val="0"/>
          <w:color w:val="1B2A32"/>
          <w:sz w:val="21"/>
        </w:rPr>
        <w:t xml:space="preserve"> referral and NI-138 compounding; and </w:t>
      </w:r>
      <w:r>
        <w:rPr>
          <w:rFonts w:ascii="Calibri" w:hAnsi="Calibri"/>
          <w:b/>
          <w:i w:val="0"/>
          <w:color w:val="1B2A32"/>
          <w:sz w:val="21"/>
        </w:rPr>
        <w:t>credit-bureau</w:t>
      </w:r>
      <w:r>
        <w:rPr>
          <w:rFonts w:ascii="Calibri" w:hAnsi="Calibri"/>
          <w:b w:val="0"/>
          <w:i w:val="0"/>
          <w:color w:val="1B2A32"/>
          <w:sz w:val="21"/>
        </w:rPr>
        <w:t xml:space="preserve"> updates. Over time, consent-based status linkage keeps borrowers, lenders and forums on a single current picture.</w:t>
      </w:r>
    </w:p>
    <w:p>
      <w:r>
        <w:br w:type="page"/>
      </w:r>
    </w:p>
    <w:p>
      <w:pPr>
        <w:spacing w:before="600" w:after="40"/>
      </w:pPr>
      <w:r>
        <w:rPr>
          <w:rFonts w:ascii="Calibri" w:hAnsi="Calibri"/>
          <w:b/>
          <w:i w:val="0"/>
          <w:color w:val="C6A15B"/>
          <w:sz w:val="26"/>
        </w:rPr>
        <w:t>PART G</w:t>
      </w:r>
    </w:p>
    <w:p>
      <w:pPr>
        <w:spacing w:after="200"/>
        <w:pBdr>
          <w:bottom w:val="single" w:sz="18" w:space="3" w:color="1E7A8C"/>
        </w:pBdr>
      </w:pPr>
      <w:r>
        <w:rPr>
          <w:rFonts w:ascii="Calibri" w:hAnsi="Calibri"/>
          <w:b/>
          <w:i w:val="0"/>
          <w:color w:val="123B4F"/>
          <w:sz w:val="46"/>
        </w:rPr>
        <w:t>Annexures</w:t>
      </w:r>
    </w:p>
    <w:p>
      <w:pPr>
        <w:keepNext/>
        <w:spacing w:before="320" w:after="140"/>
        <w:pBdr>
          <w:bottom w:val="single" w:sz="12" w:space="3" w:color="C6A15B"/>
        </w:pBdr>
      </w:pPr>
      <w:r>
        <w:rPr>
          <w:rFonts w:ascii="Calibri" w:hAnsi="Calibri"/>
          <w:b/>
          <w:i w:val="0"/>
          <w:color w:val="123B4F"/>
          <w:sz w:val="34"/>
        </w:rPr>
        <w:t>Annexure A — Consolidated Legal Authorities</w:t>
      </w:r>
    </w:p>
    <w:p>
      <w:pPr>
        <w:keepNext/>
        <w:spacing w:before="220" w:after="80"/>
      </w:pPr>
      <w:r>
        <w:rPr>
          <w:rFonts w:ascii="Calibri" w:hAnsi="Calibri"/>
          <w:b/>
          <w:i w:val="0"/>
          <w:color w:val="1E7A8C"/>
          <w:sz w:val="26"/>
        </w:rPr>
        <w:t>Statutes &amp; regulations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3231"/>
            <w:shd w:val="clear" w:color="auto" w:fill="123B4F"/>
            <w:tcMar>
              <w:top w:w="60" w:type="dxa"/>
              <w:bottom w:w="60" w:type="dxa"/>
              <w:start w:w="110" w:type="dxa"/>
              <w:end w:w="110" w:type="dxa"/>
            </w:tcMar>
          </w:tcPr>
          <w:p>
            <w:pPr>
              <w:spacing w:after="0"/>
            </w:pPr>
            <w:r>
              <w:rPr>
                <w:rFonts w:ascii="Calibri" w:hAnsi="Calibri"/>
                <w:b/>
                <w:i w:val="0"/>
                <w:color w:val="FFFFFF"/>
                <w:sz w:val="16"/>
              </w:rPr>
              <w:t>Instrument</w:t>
            </w:r>
          </w:p>
        </w:tc>
        <w:tc>
          <w:tcPr>
            <w:tcW w:type="dxa" w:w="6273"/>
            <w:shd w:val="clear" w:color="auto" w:fill="123B4F"/>
            <w:tcMar>
              <w:top w:w="60" w:type="dxa"/>
              <w:bottom w:w="60" w:type="dxa"/>
              <w:start w:w="110" w:type="dxa"/>
              <w:end w:w="110" w:type="dxa"/>
            </w:tcMar>
          </w:tcPr>
          <w:p>
            <w:pPr>
              <w:spacing w:after="0"/>
            </w:pPr>
            <w:r>
              <w:rPr>
                <w:rFonts w:ascii="Calibri" w:hAnsi="Calibri"/>
                <w:b/>
                <w:i w:val="0"/>
                <w:color w:val="FFFFFF"/>
                <w:sz w:val="16"/>
              </w:rPr>
              <w:t>Relevance</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Mediation Act, 2023</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Mediation; MSA (s.19); registration (s.20); enforceable as a decree (s.27); s.12A interface</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RBI Integrated Ombudsman Scheme, 2021</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Cost-free grievance redress vs regulated entities; 30-day escalation; CMS</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RBI (Digital Lending) Directions, 2025</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Nodal grievance officer; KFS; cooling-off; transparency; escalation</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RBI Fair Practices Code / recovery-agent guidelines</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Lender &amp; recovery-agent conduct; no harassment</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RBI Framework for Compromise Settlements &amp; Technical Write-offs, 2023</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Board-approved OTS/compromise settlements</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Negotiable Instruments Act, 1881</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Cheque bounce (s.138); compoundable (s.147)</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SARFAESI Act, 2002; RDDBFI Act, 1993</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Bank/FI security enforcement &amp; DRT recovery (special forum; non-arbitrable)</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Arbitration &amp; Conciliation Act, 1996</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Arbitration of arbitrable loan/contractual disputes; award enforcement (s.36)</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Consumer Protection Act, 2019</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Consumer (borrower) complaints; mediation</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Legal Services Authorities Act, 1987</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Lok Adalat; award deemed a civil-court decree (s.21)</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IT Act 2000; DPDP Act 2023 &amp; Rules 2025</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e-Sign/e-record; data protection</w:t>
            </w:r>
          </w:p>
        </w:tc>
      </w:tr>
    </w:tbl>
    <w:p>
      <w:pPr>
        <w:spacing w:after="80"/>
      </w:pPr>
    </w:p>
    <w:p>
      <w:pPr>
        <w:spacing w:before="20" w:after="200"/>
        <w:jc w:val="center"/>
      </w:pPr>
      <w:r>
        <w:rPr>
          <w:rFonts w:ascii="Calibri" w:hAnsi="Calibri"/>
          <w:b w:val="0"/>
          <w:i/>
          <w:color w:val="556168"/>
          <w:sz w:val="17"/>
        </w:rPr>
        <w:t>Table A-1 — Governing framework.</w:t>
      </w:r>
    </w:p>
    <w:p>
      <w:pPr>
        <w:keepNext/>
        <w:spacing w:before="220" w:after="80"/>
      </w:pPr>
      <w:r>
        <w:rPr>
          <w:rFonts w:ascii="Calibri" w:hAnsi="Calibri"/>
          <w:b/>
          <w:i w:val="0"/>
          <w:color w:val="1E7A8C"/>
          <w:sz w:val="26"/>
        </w:rPr>
        <w:t>Leading judgments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4372"/>
            <w:shd w:val="clear" w:color="auto" w:fill="123B4F"/>
            <w:tcMar>
              <w:top w:w="60" w:type="dxa"/>
              <w:bottom w:w="60" w:type="dxa"/>
              <w:start w:w="110" w:type="dxa"/>
              <w:end w:w="110" w:type="dxa"/>
            </w:tcMar>
          </w:tcPr>
          <w:p>
            <w:pPr>
              <w:spacing w:after="0"/>
            </w:pPr>
            <w:r>
              <w:rPr>
                <w:rFonts w:ascii="Calibri" w:hAnsi="Calibri"/>
                <w:b/>
                <w:i w:val="0"/>
                <w:color w:val="FFFFFF"/>
                <w:sz w:val="16"/>
              </w:rPr>
              <w:t>Case</w:t>
            </w:r>
          </w:p>
        </w:tc>
        <w:tc>
          <w:tcPr>
            <w:tcW w:type="dxa" w:w="5132"/>
            <w:shd w:val="clear" w:color="auto" w:fill="123B4F"/>
            <w:tcMar>
              <w:top w:w="60" w:type="dxa"/>
              <w:bottom w:w="60" w:type="dxa"/>
              <w:start w:w="110" w:type="dxa"/>
              <w:end w:w="110" w:type="dxa"/>
            </w:tcMar>
          </w:tcPr>
          <w:p>
            <w:pPr>
              <w:spacing w:after="0"/>
            </w:pPr>
            <w:r>
              <w:rPr>
                <w:rFonts w:ascii="Calibri" w:hAnsi="Calibri"/>
                <w:b/>
                <w:i w:val="0"/>
                <w:color w:val="FFFFFF"/>
                <w:sz w:val="16"/>
              </w:rPr>
              <w:t>Proposition</w:t>
            </w:r>
          </w:p>
        </w:tc>
      </w:tr>
      <w:tr>
        <w:trPr>
          <w:trHeight w:val="0"/>
        </w:trPr>
        <w:tc>
          <w:tcPr>
            <w:tcW w:type="dxa" w:w="4372"/>
            <w:tcMar>
              <w:top w:w="60" w:type="dxa"/>
              <w:bottom w:w="60" w:type="dxa"/>
              <w:start w:w="110" w:type="dxa"/>
              <w:end w:w="110" w:type="dxa"/>
            </w:tcMar>
          </w:tcPr>
          <w:p>
            <w:pPr>
              <w:spacing w:after="0"/>
              <w:jc w:val="left"/>
            </w:pPr>
            <w:r>
              <w:rPr>
                <w:rFonts w:ascii="Calibri" w:hAnsi="Calibri"/>
                <w:b w:val="0"/>
                <w:i w:val="0"/>
                <w:color w:val="1B2A32"/>
                <w:sz w:val="16"/>
              </w:rPr>
              <w:t>Damodar S. Prabhu v. Sayed Babalal H., (2010) 5 SCC 663</w:t>
            </w:r>
          </w:p>
        </w:tc>
        <w:tc>
          <w:tcPr>
            <w:tcW w:type="dxa" w:w="5132"/>
            <w:tcMar>
              <w:top w:w="60" w:type="dxa"/>
              <w:bottom w:w="60" w:type="dxa"/>
              <w:start w:w="110" w:type="dxa"/>
              <w:end w:w="110" w:type="dxa"/>
            </w:tcMar>
          </w:tcPr>
          <w:p>
            <w:pPr>
              <w:spacing w:after="0"/>
              <w:jc w:val="left"/>
            </w:pPr>
            <w:r>
              <w:rPr>
                <w:rFonts w:ascii="Calibri" w:hAnsi="Calibri"/>
                <w:b w:val="0"/>
                <w:i w:val="0"/>
                <w:color w:val="1B2A32"/>
                <w:sz w:val="16"/>
              </w:rPr>
              <w:t>Graded costs to encourage early compounding of s.138 cases</w:t>
            </w:r>
          </w:p>
        </w:tc>
      </w:tr>
      <w:tr>
        <w:trPr>
          <w:trHeight w:val="0"/>
        </w:trPr>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Indian Bank Association v. Union of India, (2014) 5 SCC 590</w:t>
            </w:r>
          </w:p>
        </w:tc>
        <w:tc>
          <w:tcPr>
            <w:tcW w:type="dxa" w:w="513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Speedy-trial guidelines; promote compounding, mediation, Lok Adalat</w:t>
            </w:r>
          </w:p>
        </w:tc>
      </w:tr>
      <w:tr>
        <w:trPr>
          <w:trHeight w:val="0"/>
        </w:trPr>
        <w:tc>
          <w:tcPr>
            <w:tcW w:type="dxa" w:w="4372"/>
            <w:tcMar>
              <w:top w:w="60" w:type="dxa"/>
              <w:bottom w:w="60" w:type="dxa"/>
              <w:start w:w="110" w:type="dxa"/>
              <w:end w:w="110" w:type="dxa"/>
            </w:tcMar>
          </w:tcPr>
          <w:p>
            <w:pPr>
              <w:spacing w:after="0"/>
              <w:jc w:val="left"/>
            </w:pPr>
            <w:r>
              <w:rPr>
                <w:rFonts w:ascii="Calibri" w:hAnsi="Calibri"/>
                <w:b w:val="0"/>
                <w:i w:val="0"/>
                <w:color w:val="1B2A32"/>
                <w:sz w:val="16"/>
              </w:rPr>
              <w:t>Meters &amp; Instruments v. Kanchan Mehta, (2018) 1 SCC 560</w:t>
            </w:r>
          </w:p>
        </w:tc>
        <w:tc>
          <w:tcPr>
            <w:tcW w:type="dxa" w:w="5132"/>
            <w:tcMar>
              <w:top w:w="60" w:type="dxa"/>
              <w:bottom w:w="60" w:type="dxa"/>
              <w:start w:w="110" w:type="dxa"/>
              <w:end w:w="110" w:type="dxa"/>
            </w:tcMar>
          </w:tcPr>
          <w:p>
            <w:pPr>
              <w:spacing w:after="0"/>
              <w:jc w:val="left"/>
            </w:pPr>
            <w:r>
              <w:rPr>
                <w:rFonts w:ascii="Calibri" w:hAnsi="Calibri"/>
                <w:b w:val="0"/>
                <w:i w:val="0"/>
                <w:color w:val="1B2A32"/>
                <w:sz w:val="16"/>
              </w:rPr>
              <w:t>s.138 is compensatory; closure on payment</w:t>
            </w:r>
          </w:p>
        </w:tc>
      </w:tr>
      <w:tr>
        <w:trPr>
          <w:trHeight w:val="0"/>
        </w:trPr>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Vidya Drolia v. Durga Trading, (2021) 2 SCC 1</w:t>
            </w:r>
          </w:p>
        </w:tc>
        <w:tc>
          <w:tcPr>
            <w:tcW w:type="dxa" w:w="513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Arbitrability four-fold test; special-forum (SARFAESI/DRT) matters non-arbitrable</w:t>
            </w:r>
          </w:p>
        </w:tc>
      </w:tr>
      <w:tr>
        <w:trPr>
          <w:trHeight w:val="0"/>
        </w:trPr>
        <w:tc>
          <w:tcPr>
            <w:tcW w:type="dxa" w:w="4372"/>
            <w:tcMar>
              <w:top w:w="60" w:type="dxa"/>
              <w:bottom w:w="60" w:type="dxa"/>
              <w:start w:w="110" w:type="dxa"/>
              <w:end w:w="110" w:type="dxa"/>
            </w:tcMar>
          </w:tcPr>
          <w:p>
            <w:pPr>
              <w:spacing w:after="0"/>
              <w:jc w:val="left"/>
            </w:pPr>
            <w:r>
              <w:rPr>
                <w:rFonts w:ascii="Calibri" w:hAnsi="Calibri"/>
                <w:b w:val="0"/>
                <w:i w:val="0"/>
                <w:color w:val="1B2A32"/>
                <w:sz w:val="16"/>
              </w:rPr>
              <w:t>Transcore v. Union of India, (2008) 1 SCC 125</w:t>
            </w:r>
          </w:p>
        </w:tc>
        <w:tc>
          <w:tcPr>
            <w:tcW w:type="dxa" w:w="5132"/>
            <w:tcMar>
              <w:top w:w="60" w:type="dxa"/>
              <w:bottom w:w="60" w:type="dxa"/>
              <w:start w:w="110" w:type="dxa"/>
              <w:end w:w="110" w:type="dxa"/>
            </w:tcMar>
          </w:tcPr>
          <w:p>
            <w:pPr>
              <w:spacing w:after="0"/>
              <w:jc w:val="left"/>
            </w:pPr>
            <w:r>
              <w:rPr>
                <w:rFonts w:ascii="Calibri" w:hAnsi="Calibri"/>
                <w:b w:val="0"/>
                <w:i w:val="0"/>
                <w:color w:val="1B2A32"/>
                <w:sz w:val="16"/>
              </w:rPr>
              <w:t>SARFAESI scheme; secured-creditor enforcement</w:t>
            </w:r>
          </w:p>
        </w:tc>
      </w:tr>
      <w:tr>
        <w:trPr>
          <w:trHeight w:val="0"/>
        </w:trPr>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Mardia Chemicals v. Union of India, (2004) 4 SCC 311</w:t>
            </w:r>
          </w:p>
        </w:tc>
        <w:tc>
          <w:tcPr>
            <w:tcW w:type="dxa" w:w="513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SARFAESI upheld with borrower safeguards (DRT remedy)</w:t>
            </w:r>
          </w:p>
        </w:tc>
      </w:tr>
    </w:tbl>
    <w:p>
      <w:pPr>
        <w:spacing w:after="80"/>
      </w:pPr>
    </w:p>
    <w:p>
      <w:pPr>
        <w:spacing w:before="20" w:after="200"/>
        <w:jc w:val="center"/>
      </w:pPr>
      <w:r>
        <w:rPr>
          <w:rFonts w:ascii="Calibri" w:hAnsi="Calibri"/>
          <w:b w:val="0"/>
          <w:i/>
          <w:color w:val="556168"/>
          <w:sz w:val="17"/>
        </w:rPr>
        <w:t>Table A-2 — Leading authorities.</w:t>
      </w: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Citations current as at July 2026; verify against official reports and track RBI circulars before use.</w:t>
            </w:r>
          </w:p>
        </w:tc>
      </w:tr>
    </w:tbl>
    <w:p>
      <w:pPr>
        <w:spacing w:after="120"/>
      </w:pPr>
    </w:p>
    <w:p>
      <w:pPr>
        <w:keepNext/>
        <w:spacing w:before="320" w:after="140"/>
        <w:pBdr>
          <w:bottom w:val="single" w:sz="12" w:space="3" w:color="C6A15B"/>
        </w:pBdr>
      </w:pPr>
      <w:r>
        <w:rPr>
          <w:rFonts w:ascii="Calibri" w:hAnsi="Calibri"/>
          <w:b/>
          <w:i w:val="0"/>
          <w:color w:val="123B4F"/>
          <w:sz w:val="34"/>
        </w:rPr>
        <w:t>Annexure B — Dispute Taxonomy Matrix</w:t>
      </w:r>
    </w:p>
    <w:p>
      <w:pPr>
        <w:spacing w:after="140"/>
        <w:jc w:val="both"/>
      </w:pPr>
      <w:r>
        <w:rPr>
          <w:rFonts w:ascii="Calibri" w:hAnsi="Calibri"/>
          <w:b w:val="0"/>
          <w:i w:val="0"/>
          <w:color w:val="1B2A32"/>
          <w:sz w:val="21"/>
        </w:rPr>
        <w:t xml:space="preserve">The complete Dispute-type → route → law → relief → forms matrix is delivered in the </w:t>
      </w:r>
      <w:r>
        <w:rPr>
          <w:rFonts w:ascii="Calibri" w:hAnsi="Calibri"/>
          <w:b/>
          <w:i w:val="0"/>
          <w:color w:val="1B2A32"/>
          <w:sz w:val="21"/>
        </w:rPr>
        <w:t>Developer Workbook</w:t>
      </w:r>
      <w:r>
        <w:rPr>
          <w:rFonts w:ascii="Calibri" w:hAnsi="Calibri"/>
          <w:b w:val="0"/>
          <w:i w:val="0"/>
          <w:color w:val="1B2A32"/>
          <w:sz w:val="21"/>
        </w:rPr>
        <w:t xml:space="preserve"> (sheet: 'Dispute Taxonomy'); Table 2 is the abbreviated view.</w:t>
      </w:r>
    </w:p>
    <w:p>
      <w:pPr>
        <w:keepNext/>
        <w:spacing w:before="320" w:after="140"/>
        <w:pBdr>
          <w:bottom w:val="single" w:sz="12" w:space="3" w:color="C6A15B"/>
        </w:pBdr>
      </w:pPr>
      <w:r>
        <w:rPr>
          <w:rFonts w:ascii="Calibri" w:hAnsi="Calibri"/>
          <w:b/>
          <w:i w:val="0"/>
          <w:color w:val="123B4F"/>
          <w:sz w:val="34"/>
        </w:rPr>
        <w:t>Annexure C — Glossary</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7"/>
              </w:rPr>
              <w:t>Term</w:t>
            </w:r>
          </w:p>
        </w:tc>
        <w:tc>
          <w:tcPr>
            <w:tcW w:type="dxa" w:w="7223"/>
            <w:shd w:val="clear" w:color="auto" w:fill="123B4F"/>
            <w:tcMar>
              <w:top w:w="60" w:type="dxa"/>
              <w:bottom w:w="60" w:type="dxa"/>
              <w:start w:w="110" w:type="dxa"/>
              <w:end w:w="110" w:type="dxa"/>
            </w:tcMar>
          </w:tcPr>
          <w:p>
            <w:pPr>
              <w:spacing w:after="0"/>
            </w:pPr>
            <w:r>
              <w:rPr>
                <w:rFonts w:ascii="Calibri" w:hAnsi="Calibri"/>
                <w:b/>
                <w:i w:val="0"/>
                <w:color w:val="FFFFFF"/>
                <w:sz w:val="17"/>
              </w:rPr>
              <w:t>Meaning</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7"/>
              </w:rPr>
              <w:t>OTS</w:t>
            </w:r>
          </w:p>
        </w:tc>
        <w:tc>
          <w:tcPr>
            <w:tcW w:type="dxa" w:w="7223"/>
            <w:tcMar>
              <w:top w:w="60" w:type="dxa"/>
              <w:bottom w:w="60" w:type="dxa"/>
              <w:start w:w="110" w:type="dxa"/>
              <w:end w:w="110" w:type="dxa"/>
            </w:tcMar>
          </w:tcPr>
          <w:p>
            <w:pPr>
              <w:spacing w:after="0"/>
              <w:jc w:val="left"/>
            </w:pPr>
            <w:r>
              <w:rPr>
                <w:rFonts w:ascii="Calibri" w:hAnsi="Calibri"/>
                <w:b w:val="0"/>
                <w:i w:val="0"/>
                <w:color w:val="1B2A32"/>
                <w:sz w:val="17"/>
              </w:rPr>
              <w:t>One-Time Settlement — a negotiated compromise to close a loan</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NOC / No-Dues</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No-Objection / No-Dues Certificate confirming the loan is settled/closed</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7"/>
              </w:rPr>
              <w:t>RE / LSP</w:t>
            </w:r>
          </w:p>
        </w:tc>
        <w:tc>
          <w:tcPr>
            <w:tcW w:type="dxa" w:w="7223"/>
            <w:tcMar>
              <w:top w:w="60" w:type="dxa"/>
              <w:bottom w:w="60" w:type="dxa"/>
              <w:start w:w="110" w:type="dxa"/>
              <w:end w:w="110" w:type="dxa"/>
            </w:tcMar>
          </w:tcPr>
          <w:p>
            <w:pPr>
              <w:spacing w:after="0"/>
              <w:jc w:val="left"/>
            </w:pPr>
            <w:r>
              <w:rPr>
                <w:rFonts w:ascii="Calibri" w:hAnsi="Calibri"/>
                <w:b w:val="0"/>
                <w:i w:val="0"/>
                <w:color w:val="1B2A32"/>
                <w:sz w:val="17"/>
              </w:rPr>
              <w:t>Regulated Entity / Lending Service Provider (digital lending)</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KFS</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Key Fact Statement (digital lending disclosure)</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7"/>
              </w:rPr>
              <w:t>CMS</w:t>
            </w:r>
          </w:p>
        </w:tc>
        <w:tc>
          <w:tcPr>
            <w:tcW w:type="dxa" w:w="7223"/>
            <w:tcMar>
              <w:top w:w="60" w:type="dxa"/>
              <w:bottom w:w="60" w:type="dxa"/>
              <w:start w:w="110" w:type="dxa"/>
              <w:end w:w="110" w:type="dxa"/>
            </w:tcMar>
          </w:tcPr>
          <w:p>
            <w:pPr>
              <w:spacing w:after="0"/>
              <w:jc w:val="left"/>
            </w:pPr>
            <w:r>
              <w:rPr>
                <w:rFonts w:ascii="Calibri" w:hAnsi="Calibri"/>
                <w:b w:val="0"/>
                <w:i w:val="0"/>
                <w:color w:val="1B2A32"/>
                <w:sz w:val="17"/>
              </w:rPr>
              <w:t>RBI Complaint Management System (Ombudsman portal)</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DRT / DRAT</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Debts Recovery Tribunal / Appellate Tribunal</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7"/>
              </w:rPr>
              <w:t>SARFAESI</w:t>
            </w:r>
          </w:p>
        </w:tc>
        <w:tc>
          <w:tcPr>
            <w:tcW w:type="dxa" w:w="7223"/>
            <w:tcMar>
              <w:top w:w="60" w:type="dxa"/>
              <w:bottom w:w="60" w:type="dxa"/>
              <w:start w:w="110" w:type="dxa"/>
              <w:end w:w="110" w:type="dxa"/>
            </w:tcMar>
          </w:tcPr>
          <w:p>
            <w:pPr>
              <w:spacing w:after="0"/>
              <w:jc w:val="left"/>
            </w:pPr>
            <w:r>
              <w:rPr>
                <w:rFonts w:ascii="Calibri" w:hAnsi="Calibri"/>
                <w:b w:val="0"/>
                <w:i w:val="0"/>
                <w:color w:val="1B2A32"/>
                <w:sz w:val="17"/>
              </w:rPr>
              <w:t>Securitisation &amp; Reconstruction of Financial Assets and Enforcement of Security Interest Act, 2002</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s.138 / s.147</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NI Act — cheque-bounce offence / its compoundability</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7"/>
              </w:rPr>
              <w:t>Lok Adalat</w:t>
            </w:r>
          </w:p>
        </w:tc>
        <w:tc>
          <w:tcPr>
            <w:tcW w:type="dxa" w:w="7223"/>
            <w:tcMar>
              <w:top w:w="60" w:type="dxa"/>
              <w:bottom w:w="60" w:type="dxa"/>
              <w:start w:w="110" w:type="dxa"/>
              <w:end w:w="110" w:type="dxa"/>
            </w:tcMar>
          </w:tcPr>
          <w:p>
            <w:pPr>
              <w:spacing w:after="0"/>
              <w:jc w:val="left"/>
            </w:pPr>
            <w:r>
              <w:rPr>
                <w:rFonts w:ascii="Calibri" w:hAnsi="Calibri"/>
                <w:b w:val="0"/>
                <w:i w:val="0"/>
                <w:color w:val="1B2A32"/>
                <w:sz w:val="17"/>
              </w:rPr>
              <w:t>People's court; settlement award = civil-court decree</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Compounding</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Lawful settlement of a compoundable offence (e.g., s.138)</w:t>
            </w:r>
          </w:p>
        </w:tc>
      </w:tr>
    </w:tbl>
    <w:p>
      <w:pPr>
        <w:spacing w:after="80"/>
      </w:pPr>
    </w:p>
    <w:p>
      <w:pPr>
        <w:spacing w:before="20" w:after="200"/>
        <w:jc w:val="center"/>
      </w:pPr>
      <w:r>
        <w:rPr>
          <w:rFonts w:ascii="Calibri" w:hAnsi="Calibri"/>
          <w:b w:val="0"/>
          <w:i/>
          <w:color w:val="556168"/>
          <w:sz w:val="17"/>
        </w:rPr>
        <w:t>Table C-1 — Glossary.</w:t>
      </w:r>
    </w:p>
    <w:p>
      <w:pPr>
        <w:keepNext/>
        <w:spacing w:before="320" w:after="140"/>
        <w:pBdr>
          <w:bottom w:val="single" w:sz="12" w:space="3" w:color="C6A15B"/>
        </w:pBdr>
      </w:pPr>
      <w:r>
        <w:rPr>
          <w:rFonts w:ascii="Calibri" w:hAnsi="Calibri"/>
          <w:b/>
          <w:i w:val="0"/>
          <w:color w:val="123B4F"/>
          <w:sz w:val="34"/>
        </w:rPr>
        <w:t>Annexure D — Companion Deliverables</w:t>
      </w:r>
    </w:p>
    <w:p>
      <w:pPr>
        <w:pStyle w:val="ListBullet"/>
        <w:spacing w:after="60"/>
        <w:jc w:val="both"/>
      </w:pPr>
      <w:r>
        <w:rPr>
          <w:rFonts w:ascii="Calibri" w:hAnsi="Calibri"/>
          <w:b/>
          <w:i w:val="0"/>
          <w:color w:val="123B4F"/>
          <w:sz w:val="21"/>
        </w:rPr>
        <w:t xml:space="preserve">Forms (Part H): </w:t>
      </w:r>
      <w:r>
        <w:rPr>
          <w:rFonts w:ascii="Calibri" w:hAnsi="Calibri"/>
          <w:b w:val="0"/>
          <w:i w:val="0"/>
          <w:color w:val="1B2A32"/>
          <w:sz w:val="21"/>
        </w:rPr>
        <w:t>20 forms (F-L01–F-L20) in Part H and as standalone documents in the archive.</w:t>
      </w:r>
    </w:p>
    <w:p>
      <w:pPr>
        <w:pStyle w:val="ListBullet"/>
        <w:spacing w:after="60"/>
        <w:jc w:val="both"/>
      </w:pPr>
      <w:r>
        <w:rPr>
          <w:rFonts w:ascii="Calibri" w:hAnsi="Calibri"/>
          <w:b/>
          <w:i w:val="0"/>
          <w:color w:val="123B4F"/>
          <w:sz w:val="21"/>
        </w:rPr>
        <w:t xml:space="preserve">Developer Workbook: </w:t>
      </w:r>
      <w:r>
        <w:rPr>
          <w:rFonts w:ascii="Calibri" w:hAnsi="Calibri"/>
          <w:b w:val="0"/>
          <w:i w:val="0"/>
          <w:color w:val="1B2A32"/>
          <w:sz w:val="21"/>
        </w:rPr>
        <w:t>dropdowns, taxonomy, form schemas, neutral filters, workflow, SLAs, API, integrations, PII, AI features, KPIs — with live data-validation.</w:t>
      </w:r>
    </w:p>
    <w:p>
      <w:pPr>
        <w:pStyle w:val="ListBullet"/>
        <w:spacing w:after="60"/>
        <w:jc w:val="both"/>
      </w:pPr>
      <w:r>
        <w:rPr>
          <w:rFonts w:ascii="Calibri" w:hAnsi="Calibri"/>
          <w:b/>
          <w:i w:val="0"/>
          <w:color w:val="123B4F"/>
          <w:sz w:val="21"/>
        </w:rPr>
        <w:t xml:space="preserve">Diagram set: </w:t>
      </w:r>
      <w:r>
        <w:rPr>
          <w:rFonts w:ascii="Calibri" w:hAnsi="Calibri"/>
          <w:b w:val="0"/>
          <w:i w:val="0"/>
          <w:color w:val="1B2A32"/>
          <w:sz w:val="21"/>
        </w:rPr>
        <w:t>9 diagrams (lifecycle, triage, Ombudsman, NI-138, OTS/escrow, digital lending, enforcement, AI, timeline) as PNG + SVG.</w:t>
      </w:r>
    </w:p>
    <w:p>
      <w:pPr>
        <w:pStyle w:val="ListBullet"/>
        <w:spacing w:after="60"/>
        <w:jc w:val="both"/>
      </w:pPr>
      <w:r>
        <w:rPr>
          <w:rFonts w:ascii="Calibri" w:hAnsi="Calibri"/>
          <w:b/>
          <w:i w:val="0"/>
          <w:color w:val="123B4F"/>
          <w:sz w:val="21"/>
        </w:rPr>
        <w:t xml:space="preserve">Calculators: </w:t>
      </w:r>
      <w:r>
        <w:rPr>
          <w:rFonts w:ascii="Calibri" w:hAnsi="Calibri"/>
          <w:b w:val="0"/>
          <w:i w:val="0"/>
          <w:color w:val="1B2A32"/>
          <w:sz w:val="21"/>
        </w:rPr>
        <w:t>OTS/settlement estimator and loan interest &amp; penal-charges calculator.</w:t>
      </w:r>
    </w:p>
    <w:p>
      <w:pPr>
        <w:pStyle w:val="ListBullet"/>
        <w:spacing w:after="60"/>
        <w:jc w:val="both"/>
      </w:pPr>
      <w:r>
        <w:rPr>
          <w:rFonts w:ascii="Calibri" w:hAnsi="Calibri"/>
          <w:b/>
          <w:i w:val="0"/>
          <w:color w:val="123B4F"/>
          <w:sz w:val="21"/>
        </w:rPr>
        <w:t xml:space="preserve">Board deck, toolkit, compliance &amp; outreach: </w:t>
      </w:r>
      <w:r>
        <w:rPr>
          <w:rFonts w:ascii="Calibri" w:hAnsi="Calibri"/>
          <w:b w:val="0"/>
          <w:i w:val="0"/>
          <w:color w:val="1B2A32"/>
          <w:sz w:val="21"/>
        </w:rPr>
        <w:t>as per the other verticals, adapted for financial &amp; loan.</w:t>
      </w:r>
    </w:p>
    <w:p>
      <w:pPr>
        <w:spacing w:after="40"/>
      </w:pPr>
    </w:p>
    <w:p>
      <w:pPr>
        <w:keepNext/>
        <w:spacing w:before="320" w:after="140"/>
        <w:pBdr>
          <w:bottom w:val="single" w:sz="12" w:space="3" w:color="C6A15B"/>
        </w:pBdr>
      </w:pPr>
      <w:r>
        <w:rPr>
          <w:rFonts w:ascii="Calibri" w:hAnsi="Calibri"/>
          <w:b/>
          <w:i w:val="0"/>
          <w:color w:val="123B4F"/>
          <w:sz w:val="34"/>
        </w:rPr>
        <w:t>Annexure E — Model Clause Library</w:t>
      </w:r>
    </w:p>
    <w:p>
      <w:pPr>
        <w:spacing w:after="140"/>
        <w:jc w:val="both"/>
      </w:pPr>
      <w:r>
        <w:rPr>
          <w:rFonts w:ascii="Calibri" w:hAnsi="Calibri"/>
          <w:b w:val="0"/>
          <w:i w:val="0"/>
          <w:color w:val="1B2A32"/>
          <w:sz w:val="21"/>
        </w:rPr>
        <w:t>Ready-to-adapt clauses for loan agreements and settlements. Drafting aids — tailor and have counsel settle. Bracketed items […] to be completed. Note: SARFAESI/DRT rights of a secured creditor are not ousted by an ADR clause.</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1 — LOAN-AGREEMENT ADR (mediation → arbitration)</w:t>
            </w:r>
          </w:p>
          <w:p>
            <w:pPr>
              <w:jc w:val="both"/>
            </w:pPr>
            <w:r>
              <w:rPr>
                <w:rFonts w:ascii="Calibri" w:hAnsi="Calibri"/>
                <w:b w:val="0"/>
                <w:i w:val="0"/>
                <w:color w:val="1B2A32"/>
                <w:sz w:val="20"/>
              </w:rPr>
              <w:t>Any dispute under this loan agreement shall first be referred to mediation/conciliation administered by Equator Resolution under its Rules; any dispute not settled within [30] days shall be finally resolved by arbitration administered by Equator under the Equator Rules of Arbitration. Seat: [city]. This clause does not affect the Lender's rights under the SARFAESI Act, 2002 or before the Debts Recovery Tribunal.</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2 — GRIEVANCE &amp; OMBUDSMAN (borrower notice)</w:t>
            </w:r>
          </w:p>
          <w:p>
            <w:pPr>
              <w:jc w:val="both"/>
            </w:pPr>
            <w:r>
              <w:rPr>
                <w:rFonts w:ascii="Calibri" w:hAnsi="Calibri"/>
                <w:b w:val="0"/>
                <w:i w:val="0"/>
                <w:color w:val="1B2A32"/>
                <w:sz w:val="20"/>
              </w:rPr>
              <w:t>A borrower with a complaint shall first approach the Lender's grievance-redressal officer; if unresolved within 30 days, the borrower may escalate to the RBI Ombudsman under the Integrated Ombudsman Scheme, 2021, and/or refer the dispute to mediation at Equator Resolution.</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3 — ONE-TIME SETTLEMENT (OTS)</w:t>
            </w:r>
          </w:p>
          <w:p>
            <w:pPr>
              <w:jc w:val="both"/>
            </w:pPr>
            <w:r>
              <w:rPr>
                <w:rFonts w:ascii="Calibri" w:hAnsi="Calibri"/>
                <w:b w:val="0"/>
                <w:i w:val="0"/>
                <w:color w:val="1B2A32"/>
                <w:sz w:val="20"/>
              </w:rPr>
              <w:t>The parties agree to settle the outstanding for ₹[…] (with a waiver of ₹[…] of accrued interest/penal charges), payable [in one instalment / per the schedule], via the Equator escrow account, in full and final settlement, on which the Lender shall issue a No-Dues/NOC, return the security/documents and the dishonoured cheque, and update the credit bureau.</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4 — CHEQUE-BOUNCE SETTLEMENT (s.138)</w:t>
            </w:r>
          </w:p>
          <w:p>
            <w:pPr>
              <w:jc w:val="both"/>
            </w:pPr>
            <w:r>
              <w:rPr>
                <w:rFonts w:ascii="Calibri" w:hAnsi="Calibri"/>
                <w:b w:val="0"/>
                <w:i w:val="0"/>
                <w:color w:val="1B2A32"/>
                <w:sz w:val="20"/>
              </w:rPr>
              <w:t>On payment of ₹[…] through escrow, the Complainant shall have no objection to the compounding of the offence under Section 147 of the Negotiable Instruments Act, 1881 (and/or recording of the settlement in a Lok Adalat), and the parties shall jointly move the court accordingly.</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5 — ESCROW &amp; NO-DUES RELEASE</w:t>
            </w:r>
          </w:p>
          <w:p>
            <w:pPr>
              <w:jc w:val="both"/>
            </w:pPr>
            <w:r>
              <w:rPr>
                <w:rFonts w:ascii="Calibri" w:hAnsi="Calibri"/>
                <w:b w:val="0"/>
                <w:i w:val="0"/>
                <w:color w:val="1B2A32"/>
                <w:sz w:val="20"/>
              </w:rPr>
              <w:t>The settlement sum shall be held in the Equator escrow account and released to the Lender only against issuance of the No-Dues/NOC, return of the original documents/security and the cheque, and the credit-bureau correction, per the escrow instruction (Form F-L11).</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6 — CONFIDENTIALITY &amp; FAIR CONDUCT</w:t>
            </w:r>
          </w:p>
          <w:p>
            <w:pPr>
              <w:jc w:val="both"/>
            </w:pPr>
            <w:r>
              <w:rPr>
                <w:rFonts w:ascii="Calibri" w:hAnsi="Calibri"/>
                <w:b w:val="0"/>
                <w:i w:val="0"/>
                <w:color w:val="1B2A32"/>
                <w:sz w:val="20"/>
              </w:rPr>
              <w:t>The mediation and its outcome are confidential. The Lender confirms adherence to the RBI Fair Practices Code, including that no coercive or harassing recovery practices have been or will be used.</w:t>
            </w:r>
          </w:p>
        </w:tc>
      </w:tr>
    </w:tbl>
    <w:p>
      <w:pPr>
        <w:spacing w:after="120"/>
      </w:pP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Templates, not advice. A secured creditor's SARFAESI/DRT rights and the arbitrability of a given dispute must be confirmed by counsel; consumer/borrower protections cannot be contracted away.</w:t>
            </w:r>
          </w:p>
        </w:tc>
      </w:tr>
    </w:tbl>
    <w:p>
      <w:pPr>
        <w:spacing w:after="120"/>
      </w:pPr>
    </w:p>
    <w:p>
      <w:r>
        <w:br w:type="page"/>
      </w:r>
    </w:p>
    <w:p>
      <w:pPr>
        <w:spacing w:before="600" w:after="40"/>
      </w:pPr>
      <w:r>
        <w:rPr>
          <w:rFonts w:ascii="Calibri" w:hAnsi="Calibri"/>
          <w:b/>
          <w:i w:val="0"/>
          <w:color w:val="C6A15B"/>
          <w:sz w:val="26"/>
        </w:rPr>
        <w:t>PART H</w:t>
      </w:r>
    </w:p>
    <w:p>
      <w:pPr>
        <w:spacing w:after="200"/>
        <w:pBdr>
          <w:bottom w:val="single" w:sz="18" w:space="3" w:color="1E7A8C"/>
        </w:pBdr>
      </w:pPr>
      <w:r>
        <w:rPr>
          <w:rFonts w:ascii="Calibri" w:hAnsi="Calibri"/>
          <w:b/>
          <w:i w:val="0"/>
          <w:color w:val="123B4F"/>
          <w:sz w:val="46"/>
        </w:rPr>
        <w:t>Deep Dives, Case Studies &amp; Assurance</w:t>
      </w:r>
    </w:p>
    <w:p>
      <w:pPr>
        <w:keepNext/>
        <w:spacing w:before="320" w:after="140"/>
        <w:pBdr>
          <w:bottom w:val="single" w:sz="12" w:space="3" w:color="C6A15B"/>
        </w:pBdr>
      </w:pPr>
      <w:r>
        <w:rPr>
          <w:rFonts w:ascii="Calibri" w:hAnsi="Calibri"/>
          <w:b/>
          <w:i w:val="0"/>
          <w:color w:val="123B4F"/>
          <w:sz w:val="34"/>
        </w:rPr>
        <w:t>40.  Worked Case Studies</w:t>
      </w:r>
    </w:p>
    <w:p>
      <w:pPr>
        <w:spacing w:after="140"/>
        <w:jc w:val="both"/>
      </w:pPr>
      <w:r>
        <w:rPr>
          <w:rFonts w:ascii="Calibri" w:hAnsi="Calibri"/>
          <w:b w:val="0"/>
          <w:i w:val="0"/>
          <w:color w:val="1B2A32"/>
          <w:sz w:val="21"/>
        </w:rPr>
        <w:t>These illustrative case studies show how Equator handles common financial disputes end-to-end. Names and figures are fictitious; each is written to demonstrate the route, the mechanism and the safeguards.</w:t>
      </w:r>
    </w:p>
    <w:p>
      <w:pPr>
        <w:keepNext/>
        <w:spacing w:before="220" w:after="80"/>
      </w:pPr>
      <w:r>
        <w:rPr>
          <w:rFonts w:ascii="Calibri" w:hAnsi="Calibri"/>
          <w:b/>
          <w:i w:val="0"/>
          <w:color w:val="1E7A8C"/>
          <w:sz w:val="26"/>
        </w:rPr>
        <w:t>40.1   Case 1 — Personal-loan default resolved by OTS</w:t>
      </w:r>
    </w:p>
    <w:p>
      <w:pPr>
        <w:spacing w:after="140"/>
        <w:jc w:val="both"/>
      </w:pPr>
      <w:r>
        <w:rPr>
          <w:rFonts w:ascii="Calibri" w:hAnsi="Calibri"/>
          <w:b w:val="0"/>
          <w:i w:val="0"/>
          <w:color w:val="1B2A32"/>
          <w:sz w:val="21"/>
        </w:rPr>
        <w:t xml:space="preserve">A borrower owes ₹7.5 lakh on a personal loan (₹5,00,000 principal, ₹1,80,000 interest, ₹70,000 penal). </w:t>
      </w:r>
      <w:r>
        <w:rPr>
          <w:rFonts w:ascii="Calibri" w:hAnsi="Calibri"/>
          <w:b/>
          <w:i w:val="0"/>
          <w:color w:val="1B2A32"/>
          <w:sz w:val="21"/>
        </w:rPr>
        <w:t>Route:</w:t>
      </w:r>
      <w:r>
        <w:rPr>
          <w:rFonts w:ascii="Calibri" w:hAnsi="Calibri"/>
          <w:b w:val="0"/>
          <w:i w:val="0"/>
          <w:color w:val="1B2A32"/>
          <w:sz w:val="21"/>
        </w:rPr>
        <w:t xml:space="preserve"> mediation + OTS. The neutral verifies the dues from the statement of account, runs the OTS Estimator (interest waiver 40%, penal waiver 80%), and the parties settle at ~₹6,22,000 payable in three escrow-secured instalments. On final release the lender issues a No-Dues/NOC and files a ‘settled’ credit update. </w:t>
      </w:r>
      <w:r>
        <w:rPr>
          <w:rFonts w:ascii="Calibri" w:hAnsi="Calibri"/>
          <w:b/>
          <w:i w:val="0"/>
          <w:color w:val="1B2A32"/>
          <w:sz w:val="21"/>
        </w:rPr>
        <w:t>Outcome:</w:t>
      </w:r>
      <w:r>
        <w:rPr>
          <w:rFonts w:ascii="Calibri" w:hAnsi="Calibri"/>
          <w:b w:val="0"/>
          <w:i w:val="0"/>
          <w:color w:val="1B2A32"/>
          <w:sz w:val="21"/>
        </w:rPr>
        <w:t xml:space="preserve"> closed in ~50 days; borrower's record cleared; lender recovers 83% without litigation.</w:t>
      </w:r>
    </w:p>
    <w:p>
      <w:pPr>
        <w:keepNext/>
        <w:spacing w:before="220" w:after="80"/>
      </w:pPr>
      <w:r>
        <w:rPr>
          <w:rFonts w:ascii="Calibri" w:hAnsi="Calibri"/>
          <w:b/>
          <w:i w:val="0"/>
          <w:color w:val="1E7A8C"/>
          <w:sz w:val="26"/>
        </w:rPr>
        <w:t>40.2   Case 2 — Cheque bounce settled and compounded</w:t>
      </w:r>
    </w:p>
    <w:p>
      <w:pPr>
        <w:spacing w:after="140"/>
        <w:jc w:val="both"/>
      </w:pPr>
      <w:r>
        <w:rPr>
          <w:rFonts w:ascii="Calibri" w:hAnsi="Calibri"/>
          <w:b w:val="0"/>
          <w:i w:val="0"/>
          <w:color w:val="1B2A32"/>
          <w:sz w:val="21"/>
        </w:rPr>
        <w:t xml:space="preserve">A supplier's ₹1,20,000 cheque is dishonoured; a s.138 complaint is pending. </w:t>
      </w:r>
      <w:r>
        <w:rPr>
          <w:rFonts w:ascii="Calibri" w:hAnsi="Calibri"/>
          <w:b/>
          <w:i w:val="0"/>
          <w:color w:val="1B2A32"/>
          <w:sz w:val="21"/>
        </w:rPr>
        <w:t>Route:</w:t>
      </w:r>
      <w:r>
        <w:rPr>
          <w:rFonts w:ascii="Calibri" w:hAnsi="Calibri"/>
          <w:b w:val="0"/>
          <w:i w:val="0"/>
          <w:color w:val="1B2A32"/>
          <w:sz w:val="21"/>
        </w:rPr>
        <w:t xml:space="preserve"> NI-138 settlement. The neutral facilitates payment of the cheque amount plus reasonable interest, </w:t>
      </w:r>
      <w:r>
        <w:rPr>
          <w:rFonts w:ascii="Calibri" w:hAnsi="Calibri"/>
          <w:b/>
          <w:i w:val="0"/>
          <w:color w:val="1B2A32"/>
          <w:sz w:val="21"/>
        </w:rPr>
        <w:t>secured in escrow</w:t>
      </w:r>
      <w:r>
        <w:rPr>
          <w:rFonts w:ascii="Calibri" w:hAnsi="Calibri"/>
          <w:b w:val="0"/>
          <w:i w:val="0"/>
          <w:color w:val="1B2A32"/>
          <w:sz w:val="21"/>
        </w:rPr>
        <w:t xml:space="preserve">; on payment the parties file a compounding memorandum (s.147) and the court closes the case. The parties choose to record it in a </w:t>
      </w:r>
      <w:r>
        <w:rPr>
          <w:rFonts w:ascii="Calibri" w:hAnsi="Calibri"/>
          <w:b/>
          <w:i w:val="0"/>
          <w:color w:val="1B2A32"/>
          <w:sz w:val="21"/>
        </w:rPr>
        <w:t>Lok Adalat</w:t>
      </w:r>
      <w:r>
        <w:rPr>
          <w:rFonts w:ascii="Calibri" w:hAnsi="Calibri"/>
          <w:b w:val="0"/>
          <w:i w:val="0"/>
          <w:color w:val="1B2A32"/>
          <w:sz w:val="21"/>
        </w:rPr>
        <w:t xml:space="preserve"> for a final decree. </w:t>
      </w:r>
      <w:r>
        <w:rPr>
          <w:rFonts w:ascii="Calibri" w:hAnsi="Calibri"/>
          <w:b/>
          <w:i w:val="0"/>
          <w:color w:val="1B2A32"/>
          <w:sz w:val="21"/>
        </w:rPr>
        <w:t>Outcome:</w:t>
      </w:r>
      <w:r>
        <w:rPr>
          <w:rFonts w:ascii="Calibri" w:hAnsi="Calibri"/>
          <w:b w:val="0"/>
          <w:i w:val="0"/>
          <w:color w:val="1B2A32"/>
          <w:sz w:val="21"/>
        </w:rPr>
        <w:t xml:space="preserve"> the drawer avoids conviction, the payee is paid, and the matter closes at the next hearing — the Damodar Prabhu cost guidance encouraged early settlement.</w:t>
      </w:r>
    </w:p>
    <w:p>
      <w:pPr>
        <w:keepNext/>
        <w:spacing w:before="220" w:after="80"/>
      </w:pPr>
      <w:r>
        <w:rPr>
          <w:rFonts w:ascii="Calibri" w:hAnsi="Calibri"/>
          <w:b/>
          <w:i w:val="0"/>
          <w:color w:val="1E7A8C"/>
          <w:sz w:val="26"/>
        </w:rPr>
        <w:t>40.3   Case 3 — Recovery-agent harassment</w:t>
      </w:r>
    </w:p>
    <w:p>
      <w:pPr>
        <w:spacing w:after="140"/>
        <w:jc w:val="both"/>
      </w:pPr>
      <w:r>
        <w:rPr>
          <w:rFonts w:ascii="Calibri" w:hAnsi="Calibri"/>
          <w:b w:val="0"/>
          <w:i w:val="0"/>
          <w:color w:val="1B2A32"/>
          <w:sz w:val="21"/>
        </w:rPr>
        <w:t xml:space="preserve">A borrower reports abusive night-time calls from a recovery agent. </w:t>
      </w:r>
      <w:r>
        <w:rPr>
          <w:rFonts w:ascii="Calibri" w:hAnsi="Calibri"/>
          <w:b/>
          <w:i w:val="0"/>
          <w:color w:val="1B2A32"/>
          <w:sz w:val="21"/>
        </w:rPr>
        <w:t>Route:</w:t>
      </w:r>
      <w:r>
        <w:rPr>
          <w:rFonts w:ascii="Calibri" w:hAnsi="Calibri"/>
          <w:b w:val="0"/>
          <w:i w:val="0"/>
          <w:color w:val="1B2A32"/>
          <w:sz w:val="21"/>
        </w:rPr>
        <w:t xml:space="preserve"> grievance + mediation. Equator captures the evidence, escalates the conduct to the lender's grievance officer (and flags the RBI Ombudsman route), and advises the borrower to contact the police if threatened. In parallel, the neutral mediates an affordable repayment. </w:t>
      </w:r>
      <w:r>
        <w:rPr>
          <w:rFonts w:ascii="Calibri" w:hAnsi="Calibri"/>
          <w:b/>
          <w:i w:val="0"/>
          <w:color w:val="1B2A32"/>
          <w:sz w:val="21"/>
        </w:rPr>
        <w:t>Outcome:</w:t>
      </w:r>
      <w:r>
        <w:rPr>
          <w:rFonts w:ascii="Calibri" w:hAnsi="Calibri"/>
          <w:b w:val="0"/>
          <w:i w:val="0"/>
          <w:color w:val="1B2A32"/>
          <w:sz w:val="21"/>
        </w:rPr>
        <w:t xml:space="preserve"> the harassment stops, the debt is settled on realistic terms, and the conduct breach is on record.</w:t>
      </w:r>
    </w:p>
    <w:p>
      <w:pPr>
        <w:keepNext/>
        <w:spacing w:before="220" w:after="80"/>
      </w:pPr>
      <w:r>
        <w:rPr>
          <w:rFonts w:ascii="Calibri" w:hAnsi="Calibri"/>
          <w:b/>
          <w:i w:val="0"/>
          <w:color w:val="1E7A8C"/>
          <w:sz w:val="26"/>
        </w:rPr>
        <w:t>40.4   Case 4 — Digital-lending grievance</w:t>
      </w:r>
    </w:p>
    <w:p>
      <w:pPr>
        <w:spacing w:after="140"/>
        <w:jc w:val="both"/>
      </w:pPr>
      <w:r>
        <w:rPr>
          <w:rFonts w:ascii="Calibri" w:hAnsi="Calibri"/>
          <w:b w:val="0"/>
          <w:i w:val="0"/>
          <w:color w:val="1B2A32"/>
          <w:sz w:val="21"/>
        </w:rPr>
        <w:t xml:space="preserve">A borrower on a lending app finds charges never disclosed in a Key Fact Statement and data accessed without consent. </w:t>
      </w:r>
      <w:r>
        <w:rPr>
          <w:rFonts w:ascii="Calibri" w:hAnsi="Calibri"/>
          <w:b/>
          <w:i w:val="0"/>
          <w:color w:val="1B2A32"/>
          <w:sz w:val="21"/>
        </w:rPr>
        <w:t>Route:</w:t>
      </w:r>
      <w:r>
        <w:rPr>
          <w:rFonts w:ascii="Calibri" w:hAnsi="Calibri"/>
          <w:b w:val="0"/>
          <w:i w:val="0"/>
          <w:color w:val="1B2A32"/>
          <w:sz w:val="21"/>
        </w:rPr>
        <w:t xml:space="preserve"> digital-lending grievance under the RBI Directions 2025. Equator checks the KFS, APR, consent and disbursal route; the non-disclosed charges are refunded and the principal settled. </w:t>
      </w:r>
      <w:r>
        <w:rPr>
          <w:rFonts w:ascii="Calibri" w:hAnsi="Calibri"/>
          <w:b/>
          <w:i w:val="0"/>
          <w:color w:val="1B2A32"/>
          <w:sz w:val="21"/>
        </w:rPr>
        <w:t>Outcome:</w:t>
      </w:r>
      <w:r>
        <w:rPr>
          <w:rFonts w:ascii="Calibri" w:hAnsi="Calibri"/>
          <w:b w:val="0"/>
          <w:i w:val="0"/>
          <w:color w:val="1B2A32"/>
          <w:sz w:val="21"/>
        </w:rPr>
        <w:t xml:space="preserve"> refund + settlement + a compliance record; unresolved elements are signposted to the RBI Ombudsman.</w:t>
      </w:r>
    </w:p>
    <w:p>
      <w:pPr>
        <w:keepNext/>
        <w:spacing w:before="220" w:after="80"/>
      </w:pPr>
      <w:r>
        <w:rPr>
          <w:rFonts w:ascii="Calibri" w:hAnsi="Calibri"/>
          <w:b/>
          <w:i w:val="0"/>
          <w:color w:val="1E7A8C"/>
          <w:sz w:val="26"/>
        </w:rPr>
        <w:t>40.5   Case 5 — Guarantor and secured home loan around SARFAESI</w:t>
      </w:r>
    </w:p>
    <w:p>
      <w:pPr>
        <w:spacing w:after="140"/>
        <w:jc w:val="both"/>
      </w:pPr>
      <w:r>
        <w:rPr>
          <w:rFonts w:ascii="Calibri" w:hAnsi="Calibri"/>
          <w:b w:val="0"/>
          <w:i w:val="0"/>
          <w:color w:val="1B2A32"/>
          <w:sz w:val="21"/>
        </w:rPr>
        <w:t xml:space="preserve">A bank has issued a SARFAESI s.13(2) notice on a home loan; a guarantor is also pursued. </w:t>
      </w:r>
      <w:r>
        <w:rPr>
          <w:rFonts w:ascii="Calibri" w:hAnsi="Calibri"/>
          <w:b/>
          <w:i w:val="0"/>
          <w:color w:val="1B2A32"/>
          <w:sz w:val="21"/>
        </w:rPr>
        <w:t>Route:</w:t>
      </w:r>
      <w:r>
        <w:rPr>
          <w:rFonts w:ascii="Calibri" w:hAnsi="Calibri"/>
          <w:b w:val="0"/>
          <w:i w:val="0"/>
          <w:color w:val="1B2A32"/>
          <w:sz w:val="21"/>
        </w:rPr>
        <w:t xml:space="preserve"> Equator </w:t>
      </w:r>
      <w:r>
        <w:rPr>
          <w:rFonts w:ascii="Calibri" w:hAnsi="Calibri"/>
          <w:b/>
          <w:i w:val="0"/>
          <w:color w:val="1B2A32"/>
          <w:sz w:val="21"/>
        </w:rPr>
        <w:t>cannot</w:t>
      </w:r>
      <w:r>
        <w:rPr>
          <w:rFonts w:ascii="Calibri" w:hAnsi="Calibri"/>
          <w:b w:val="0"/>
          <w:i w:val="0"/>
          <w:color w:val="1B2A32"/>
          <w:sz w:val="21"/>
        </w:rPr>
        <w:t xml:space="preserve"> mediate the SARFAESI enforcement itself, but mediates an </w:t>
      </w:r>
      <w:r>
        <w:rPr>
          <w:rFonts w:ascii="Calibri" w:hAnsi="Calibri"/>
          <w:b/>
          <w:i w:val="0"/>
          <w:color w:val="1B2A32"/>
          <w:sz w:val="21"/>
        </w:rPr>
        <w:t>OTS around it</w:t>
      </w:r>
      <w:r>
        <w:rPr>
          <w:rFonts w:ascii="Calibri" w:hAnsi="Calibri"/>
          <w:b w:val="0"/>
          <w:i w:val="0"/>
          <w:color w:val="1B2A32"/>
          <w:sz w:val="21"/>
        </w:rPr>
        <w:t xml:space="preserve"> that the bank accepts, with the guarantor's discharge and release of the mortgage on final payment. </w:t>
      </w:r>
      <w:r>
        <w:rPr>
          <w:rFonts w:ascii="Calibri" w:hAnsi="Calibri"/>
          <w:b/>
          <w:i w:val="0"/>
          <w:color w:val="1B2A32"/>
          <w:sz w:val="21"/>
        </w:rPr>
        <w:t>Outcome:</w:t>
      </w:r>
      <w:r>
        <w:rPr>
          <w:rFonts w:ascii="Calibri" w:hAnsi="Calibri"/>
          <w:b w:val="0"/>
          <w:i w:val="0"/>
          <w:color w:val="1B2A32"/>
          <w:sz w:val="21"/>
        </w:rPr>
        <w:t xml:space="preserve"> possession/sale avoided; the family retains the home; the bank recovers a negotiated sum. The neutral never held out any power to stay the statutory action.</w:t>
      </w:r>
    </w:p>
    <w:p>
      <w:pPr>
        <w:keepNext/>
        <w:spacing w:before="220" w:after="80"/>
      </w:pPr>
      <w:r>
        <w:rPr>
          <w:rFonts w:ascii="Calibri" w:hAnsi="Calibri"/>
          <w:b/>
          <w:i w:val="0"/>
          <w:color w:val="1E7A8C"/>
          <w:sz w:val="26"/>
        </w:rPr>
        <w:t>40.6   Case 6 — Wrong charges and credit-bureau correction</w:t>
      </w:r>
    </w:p>
    <w:p>
      <w:pPr>
        <w:spacing w:after="140"/>
        <w:jc w:val="both"/>
      </w:pPr>
      <w:r>
        <w:rPr>
          <w:rFonts w:ascii="Calibri" w:hAnsi="Calibri"/>
          <w:b w:val="0"/>
          <w:i w:val="0"/>
          <w:color w:val="1B2A32"/>
          <w:sz w:val="21"/>
        </w:rPr>
        <w:t xml:space="preserve">A borrower's card shows stacked late fees and a mis-reported default. </w:t>
      </w:r>
      <w:r>
        <w:rPr>
          <w:rFonts w:ascii="Calibri" w:hAnsi="Calibri"/>
          <w:b/>
          <w:i w:val="0"/>
          <w:color w:val="1B2A32"/>
          <w:sz w:val="21"/>
        </w:rPr>
        <w:t>Route:</w:t>
      </w:r>
      <w:r>
        <w:rPr>
          <w:rFonts w:ascii="Calibri" w:hAnsi="Calibri"/>
          <w:b w:val="0"/>
          <w:i w:val="0"/>
          <w:color w:val="1B2A32"/>
          <w:sz w:val="21"/>
        </w:rPr>
        <w:t xml:space="preserve"> mediation + bureau correction. The neutral folds the fee reversal into the settlement and makes the </w:t>
      </w:r>
      <w:r>
        <w:rPr>
          <w:rFonts w:ascii="Calibri" w:hAnsi="Calibri"/>
          <w:b/>
          <w:i w:val="0"/>
          <w:color w:val="1B2A32"/>
          <w:sz w:val="21"/>
        </w:rPr>
        <w:t>credit-bureau correction</w:t>
      </w:r>
      <w:r>
        <w:rPr>
          <w:rFonts w:ascii="Calibri" w:hAnsi="Calibri"/>
          <w:b w:val="0"/>
          <w:i w:val="0"/>
          <w:color w:val="1B2A32"/>
          <w:sz w:val="21"/>
        </w:rPr>
        <w:t xml:space="preserve"> an enforceable term. </w:t>
      </w:r>
      <w:r>
        <w:rPr>
          <w:rFonts w:ascii="Calibri" w:hAnsi="Calibri"/>
          <w:b/>
          <w:i w:val="0"/>
          <w:color w:val="1B2A32"/>
          <w:sz w:val="21"/>
        </w:rPr>
        <w:t>Outcome:</w:t>
      </w:r>
      <w:r>
        <w:rPr>
          <w:rFonts w:ascii="Calibri" w:hAnsi="Calibri"/>
          <w:b w:val="0"/>
          <w:i w:val="0"/>
          <w:color w:val="1B2A32"/>
          <w:sz w:val="21"/>
        </w:rPr>
        <w:t xml:space="preserve"> charges reversed, account reported accurately, borrower's score cured within the reporting cycle.</w:t>
      </w:r>
    </w:p>
    <w:p>
      <w:pPr>
        <w:keepNext/>
        <w:spacing w:before="320" w:after="140"/>
        <w:pBdr>
          <w:bottom w:val="single" w:sz="12" w:space="3" w:color="C6A15B"/>
        </w:pBdr>
      </w:pPr>
      <w:r>
        <w:rPr>
          <w:rFonts w:ascii="Calibri" w:hAnsi="Calibri"/>
          <w:b/>
          <w:i w:val="0"/>
          <w:color w:val="123B4F"/>
          <w:sz w:val="34"/>
        </w:rPr>
        <w:t>41.  One-Time Settlement — Tax, Provisioning &amp; Reporting</w:t>
      </w:r>
    </w:p>
    <w:p>
      <w:pPr>
        <w:spacing w:after="140"/>
        <w:jc w:val="both"/>
      </w:pPr>
      <w:r>
        <w:rPr>
          <w:rFonts w:ascii="Calibri" w:hAnsi="Calibri"/>
          <w:b w:val="0"/>
          <w:i w:val="0"/>
          <w:color w:val="1B2A32"/>
          <w:sz w:val="21"/>
        </w:rPr>
        <w:t>An OTS has consequences beyond the settled figure. The neutral does not advise on them, but understands them to read the parties' constraints and to draft accurately.</w:t>
      </w:r>
    </w:p>
    <w:p>
      <w:pPr>
        <w:keepNext/>
        <w:spacing w:before="220" w:after="80"/>
      </w:pPr>
      <w:r>
        <w:rPr>
          <w:rFonts w:ascii="Calibri" w:hAnsi="Calibri"/>
          <w:b/>
          <w:i w:val="0"/>
          <w:color w:val="1E7A8C"/>
          <w:sz w:val="26"/>
        </w:rPr>
        <w:t>41.1   Borrower-side tax</w:t>
      </w:r>
    </w:p>
    <w:p>
      <w:pPr>
        <w:spacing w:after="140"/>
        <w:jc w:val="both"/>
      </w:pPr>
      <w:r>
        <w:rPr>
          <w:rFonts w:ascii="Calibri" w:hAnsi="Calibri"/>
          <w:b w:val="0"/>
          <w:i w:val="0"/>
          <w:color w:val="1B2A32"/>
          <w:sz w:val="21"/>
        </w:rPr>
        <w:t xml:space="preserve">A waiver of a </w:t>
      </w:r>
      <w:r>
        <w:rPr>
          <w:rFonts w:ascii="Calibri" w:hAnsi="Calibri"/>
          <w:b/>
          <w:i w:val="0"/>
          <w:color w:val="1B2A32"/>
          <w:sz w:val="21"/>
        </w:rPr>
        <w:t>business</w:t>
      </w:r>
      <w:r>
        <w:rPr>
          <w:rFonts w:ascii="Calibri" w:hAnsi="Calibri"/>
          <w:b w:val="0"/>
          <w:i w:val="0"/>
          <w:color w:val="1B2A32"/>
          <w:sz w:val="21"/>
        </w:rPr>
        <w:t xml:space="preserve"> loan/liability may be taxable in the borrower's hands (for example under sections 41(1) or 28(iv) of the Income-tax Act, depending on facts), while a waiver of interest or a personal consumption loan may be treated differently. Treatment is fact-specific.</w:t>
      </w: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The neutral must NOT give tax advice. Flag the point and advise the borrower to consult a tax professional before finalising; record that the borrower was so advised.</w:t>
            </w:r>
          </w:p>
        </w:tc>
      </w:tr>
    </w:tbl>
    <w:p>
      <w:pPr>
        <w:spacing w:after="120"/>
      </w:pPr>
    </w:p>
    <w:p>
      <w:pPr>
        <w:keepNext/>
        <w:spacing w:before="220" w:after="80"/>
      </w:pPr>
      <w:r>
        <w:rPr>
          <w:rFonts w:ascii="Calibri" w:hAnsi="Calibri"/>
          <w:b/>
          <w:i w:val="0"/>
          <w:color w:val="1E7A8C"/>
          <w:sz w:val="26"/>
        </w:rPr>
        <w:t>41.2   Lender-side provisioning &amp; classification</w:t>
      </w:r>
    </w:p>
    <w:p>
      <w:pPr>
        <w:spacing w:after="140"/>
        <w:jc w:val="both"/>
      </w:pPr>
      <w:r>
        <w:rPr>
          <w:rFonts w:ascii="Calibri" w:hAnsi="Calibri"/>
          <w:b w:val="0"/>
          <w:i w:val="0"/>
          <w:color w:val="1B2A32"/>
          <w:sz w:val="21"/>
        </w:rPr>
        <w:t>The sacrifice affects the lender's provisioning and the account's regulatory classification, and the settlement must sit within delegated authority under the board-approved compromise-settlement policy (RBI, 2023). Large sacrifices may require committee or board approval.</w:t>
      </w:r>
    </w:p>
    <w:p>
      <w:pPr>
        <w:keepNext/>
        <w:spacing w:before="220" w:after="80"/>
      </w:pPr>
      <w:r>
        <w:rPr>
          <w:rFonts w:ascii="Calibri" w:hAnsi="Calibri"/>
          <w:b/>
          <w:i w:val="0"/>
          <w:color w:val="1E7A8C"/>
          <w:sz w:val="26"/>
        </w:rPr>
        <w:t>41.3   Reporting</w:t>
      </w:r>
    </w:p>
    <w:p>
      <w:pPr>
        <w:spacing w:after="140"/>
        <w:jc w:val="both"/>
      </w:pPr>
      <w:r>
        <w:rPr>
          <w:rFonts w:ascii="Calibri" w:hAnsi="Calibri"/>
          <w:b w:val="0"/>
          <w:i w:val="0"/>
          <w:color w:val="1B2A32"/>
          <w:sz w:val="21"/>
        </w:rPr>
        <w:t>The settlement records the exact credit-bureau status and the update timeline. Where any tax is withheld or reported (e.g., TDS considerations on certain payments), the parties confirm treatment with their advisers.</w:t>
      </w:r>
    </w:p>
    <w:p>
      <w:pPr>
        <w:keepNext/>
        <w:spacing w:before="320" w:after="140"/>
        <w:pBdr>
          <w:bottom w:val="single" w:sz="12" w:space="3" w:color="C6A15B"/>
        </w:pBdr>
      </w:pPr>
      <w:r>
        <w:rPr>
          <w:rFonts w:ascii="Calibri" w:hAnsi="Calibri"/>
          <w:b/>
          <w:i w:val="0"/>
          <w:color w:val="123B4F"/>
          <w:sz w:val="34"/>
        </w:rPr>
        <w:t>42.  Credit Reporting — A Deep Dive</w:t>
      </w:r>
    </w:p>
    <w:p>
      <w:pPr>
        <w:spacing w:after="140"/>
        <w:jc w:val="both"/>
      </w:pPr>
      <w:r>
        <w:rPr>
          <w:rFonts w:ascii="Calibri" w:hAnsi="Calibri"/>
          <w:b w:val="0"/>
          <w:i w:val="0"/>
          <w:color w:val="1B2A32"/>
          <w:sz w:val="21"/>
        </w:rPr>
        <w:t>A clean credit outcome is central to Equator's borrower value. This section sets the standard for how settlements are reported.</w:t>
      </w:r>
    </w:p>
    <w:p>
      <w:pPr>
        <w:pStyle w:val="ListBullet"/>
        <w:spacing w:after="60"/>
        <w:jc w:val="both"/>
      </w:pPr>
      <w:r>
        <w:rPr>
          <w:rFonts w:ascii="Calibri" w:hAnsi="Calibri"/>
          <w:b/>
          <w:i w:val="0"/>
          <w:color w:val="1B2A32"/>
          <w:sz w:val="21"/>
        </w:rPr>
        <w:t>Bureaus:</w:t>
      </w:r>
      <w:r>
        <w:rPr>
          <w:rFonts w:ascii="Calibri" w:hAnsi="Calibri"/>
          <w:b w:val="0"/>
          <w:i w:val="0"/>
          <w:color w:val="1B2A32"/>
          <w:sz w:val="21"/>
        </w:rPr>
        <w:t xml:space="preserve"> the lender updates the credit information companies (CIBIL/TransUnion, CRIF High Mark, Experian, Equifax) under the Credit Information Companies (Regulation) Act, 2005.</w:t>
      </w:r>
    </w:p>
    <w:p>
      <w:pPr>
        <w:pStyle w:val="ListBullet"/>
        <w:spacing w:after="60"/>
        <w:jc w:val="both"/>
      </w:pPr>
      <w:r>
        <w:rPr>
          <w:rFonts w:ascii="Calibri" w:hAnsi="Calibri"/>
          <w:b/>
          <w:i w:val="0"/>
          <w:color w:val="1B2A32"/>
          <w:sz w:val="21"/>
        </w:rPr>
        <w:t>Status:</w:t>
      </w:r>
      <w:r>
        <w:rPr>
          <w:rFonts w:ascii="Calibri" w:hAnsi="Calibri"/>
          <w:b w:val="0"/>
          <w:i w:val="0"/>
          <w:color w:val="1B2A32"/>
          <w:sz w:val="21"/>
        </w:rPr>
        <w:t xml:space="preserve"> an account fully paid is reported </w:t>
      </w:r>
      <w:r>
        <w:rPr>
          <w:rFonts w:ascii="Calibri" w:hAnsi="Calibri"/>
          <w:b/>
          <w:i w:val="0"/>
          <w:color w:val="1B2A32"/>
          <w:sz w:val="21"/>
        </w:rPr>
        <w:t>‘closed’</w:t>
      </w:r>
      <w:r>
        <w:rPr>
          <w:rFonts w:ascii="Calibri" w:hAnsi="Calibri"/>
          <w:b w:val="0"/>
          <w:i w:val="0"/>
          <w:color w:val="1B2A32"/>
          <w:sz w:val="21"/>
        </w:rPr>
        <w:t xml:space="preserve">; an account settled for less than the full dues is reported </w:t>
      </w:r>
      <w:r>
        <w:rPr>
          <w:rFonts w:ascii="Calibri" w:hAnsi="Calibri"/>
          <w:b/>
          <w:i w:val="0"/>
          <w:color w:val="1B2A32"/>
          <w:sz w:val="21"/>
        </w:rPr>
        <w:t>‘settled’</w:t>
      </w:r>
      <w:r>
        <w:rPr>
          <w:rFonts w:ascii="Calibri" w:hAnsi="Calibri"/>
          <w:b w:val="0"/>
          <w:i w:val="0"/>
          <w:color w:val="1B2A32"/>
          <w:sz w:val="21"/>
        </w:rPr>
        <w:t xml:space="preserve"> — a factual record, not a penalty, and one that does not by itself bar future credit.</w:t>
      </w:r>
    </w:p>
    <w:p>
      <w:pPr>
        <w:pStyle w:val="ListBullet"/>
        <w:spacing w:after="60"/>
        <w:jc w:val="both"/>
      </w:pPr>
      <w:r>
        <w:rPr>
          <w:rFonts w:ascii="Calibri" w:hAnsi="Calibri"/>
          <w:b/>
          <w:i w:val="0"/>
          <w:color w:val="1B2A32"/>
          <w:sz w:val="21"/>
        </w:rPr>
        <w:t>Timeline:</w:t>
      </w:r>
      <w:r>
        <w:rPr>
          <w:rFonts w:ascii="Calibri" w:hAnsi="Calibri"/>
          <w:b w:val="0"/>
          <w:i w:val="0"/>
          <w:color w:val="1B2A32"/>
          <w:sz w:val="21"/>
        </w:rPr>
        <w:t xml:space="preserve"> the update is filed within the prescribed reporting cycle; the settlement fixes the date.</w:t>
      </w:r>
    </w:p>
    <w:p>
      <w:pPr>
        <w:pStyle w:val="ListBullet"/>
        <w:spacing w:after="60"/>
        <w:jc w:val="both"/>
      </w:pPr>
      <w:r>
        <w:rPr>
          <w:rFonts w:ascii="Calibri" w:hAnsi="Calibri"/>
          <w:b/>
          <w:i w:val="0"/>
          <w:color w:val="1B2A32"/>
          <w:sz w:val="21"/>
        </w:rPr>
        <w:t>Correction:</w:t>
      </w:r>
      <w:r>
        <w:rPr>
          <w:rFonts w:ascii="Calibri" w:hAnsi="Calibri"/>
          <w:b w:val="0"/>
          <w:i w:val="0"/>
          <w:color w:val="1B2A32"/>
          <w:sz w:val="21"/>
        </w:rPr>
        <w:t xml:space="preserve"> where the account was previously mis-reported, the settlement makes the correction an enforceable term (Model Clause 7).</w:t>
      </w:r>
    </w:p>
    <w:p>
      <w:pPr>
        <w:pStyle w:val="ListBullet"/>
        <w:spacing w:after="60"/>
        <w:jc w:val="both"/>
      </w:pPr>
      <w:r>
        <w:rPr>
          <w:rFonts w:ascii="Calibri" w:hAnsi="Calibri"/>
          <w:b/>
          <w:i w:val="0"/>
          <w:color w:val="1B2A32"/>
          <w:sz w:val="21"/>
        </w:rPr>
        <w:t>Dispute route:</w:t>
      </w:r>
      <w:r>
        <w:rPr>
          <w:rFonts w:ascii="Calibri" w:hAnsi="Calibri"/>
          <w:b w:val="0"/>
          <w:i w:val="0"/>
          <w:color w:val="1B2A32"/>
          <w:sz w:val="21"/>
        </w:rPr>
        <w:t xml:space="preserve"> if a bureau record is wrong, the borrower may raise a dispute with the bureau/lender; Equator can facilitate the correction as part of closure.</w:t>
      </w:r>
    </w:p>
    <w:p>
      <w:pPr>
        <w:spacing w:after="40"/>
      </w:pP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Make the cure enforceable</w:t>
            </w:r>
          </w:p>
          <w:p>
            <w:pPr>
              <w:jc w:val="both"/>
            </w:pPr>
            <w:r>
              <w:rPr>
                <w:rFonts w:ascii="Calibri" w:hAnsi="Calibri"/>
                <w:b w:val="0"/>
                <w:i w:val="0"/>
                <w:color w:val="1B2A32"/>
                <w:sz w:val="20"/>
              </w:rPr>
              <w:t>Always write the exact bureau status and the update timeline into the Settlement Agreement, so the borrower's clean exit is a term the lender must honour.</w:t>
            </w:r>
          </w:p>
        </w:tc>
      </w:tr>
    </w:tbl>
    <w:p>
      <w:pPr>
        <w:spacing w:after="120"/>
      </w:pPr>
    </w:p>
    <w:p>
      <w:pPr>
        <w:keepNext/>
        <w:spacing w:before="320" w:after="140"/>
        <w:pBdr>
          <w:bottom w:val="single" w:sz="12" w:space="3" w:color="C6A15B"/>
        </w:pBdr>
      </w:pPr>
      <w:r>
        <w:rPr>
          <w:rFonts w:ascii="Calibri" w:hAnsi="Calibri"/>
          <w:b/>
          <w:i w:val="0"/>
          <w:color w:val="123B4F"/>
          <w:sz w:val="34"/>
        </w:rPr>
        <w:t>43.  Vulnerable Borrowers &amp; Financial-Distress Protocol</w:t>
      </w:r>
    </w:p>
    <w:p>
      <w:pPr>
        <w:spacing w:after="140"/>
        <w:jc w:val="both"/>
      </w:pPr>
      <w:r>
        <w:rPr>
          <w:rFonts w:ascii="Calibri" w:hAnsi="Calibri"/>
          <w:b w:val="0"/>
          <w:i w:val="0"/>
          <w:color w:val="1B2A32"/>
          <w:sz w:val="21"/>
        </w:rPr>
        <w:t>Many borrowers in financial disputes are in distress. Equator protects them without patronising them.</w:t>
      </w:r>
    </w:p>
    <w:p>
      <w:pPr>
        <w:pStyle w:val="ListBullet"/>
        <w:spacing w:after="60"/>
        <w:jc w:val="both"/>
      </w:pPr>
      <w:r>
        <w:rPr>
          <w:rFonts w:ascii="Calibri" w:hAnsi="Calibri"/>
          <w:b/>
          <w:i w:val="0"/>
          <w:color w:val="1B2A32"/>
          <w:sz w:val="21"/>
        </w:rPr>
        <w:t>Screen</w:t>
      </w:r>
      <w:r>
        <w:rPr>
          <w:rFonts w:ascii="Calibri" w:hAnsi="Calibri"/>
          <w:b w:val="0"/>
          <w:i w:val="0"/>
          <w:color w:val="1B2A32"/>
          <w:sz w:val="21"/>
        </w:rPr>
        <w:t xml:space="preserve"> for distress, coercion, or a lack of understanding at intake and throughout.</w:t>
      </w:r>
    </w:p>
    <w:p>
      <w:pPr>
        <w:pStyle w:val="ListBullet"/>
        <w:spacing w:after="60"/>
        <w:jc w:val="both"/>
      </w:pPr>
      <w:r>
        <w:rPr>
          <w:rFonts w:ascii="Calibri" w:hAnsi="Calibri"/>
          <w:b/>
          <w:i w:val="0"/>
          <w:color w:val="1B2A32"/>
          <w:sz w:val="21"/>
        </w:rPr>
        <w:t>Slow down</w:t>
      </w:r>
      <w:r>
        <w:rPr>
          <w:rFonts w:ascii="Calibri" w:hAnsi="Calibri"/>
          <w:b w:val="0"/>
          <w:i w:val="0"/>
          <w:color w:val="1B2A32"/>
          <w:sz w:val="21"/>
        </w:rPr>
        <w:t xml:space="preserve"> — allow time to read, reflect and take independent advice; never rush a signature.</w:t>
      </w:r>
    </w:p>
    <w:p>
      <w:pPr>
        <w:pStyle w:val="ListBullet"/>
        <w:spacing w:after="60"/>
        <w:jc w:val="both"/>
      </w:pPr>
      <w:r>
        <w:rPr>
          <w:rFonts w:ascii="Calibri" w:hAnsi="Calibri"/>
          <w:b/>
          <w:i w:val="0"/>
          <w:color w:val="1B2A32"/>
          <w:sz w:val="21"/>
        </w:rPr>
        <w:t>No coercion</w:t>
      </w:r>
      <w:r>
        <w:rPr>
          <w:rFonts w:ascii="Calibri" w:hAnsi="Calibri"/>
          <w:b w:val="0"/>
          <w:i w:val="0"/>
          <w:color w:val="1B2A32"/>
          <w:sz w:val="21"/>
        </w:rPr>
        <w:t xml:space="preserve"> — never let the process become a recovery tool; a settlement must be genuinely voluntary and affordable.</w:t>
      </w:r>
    </w:p>
    <w:p>
      <w:pPr>
        <w:pStyle w:val="ListBullet"/>
        <w:spacing w:after="60"/>
        <w:jc w:val="both"/>
      </w:pPr>
      <w:r>
        <w:rPr>
          <w:rFonts w:ascii="Calibri" w:hAnsi="Calibri"/>
          <w:b/>
          <w:i w:val="0"/>
          <w:color w:val="1B2A32"/>
          <w:sz w:val="21"/>
        </w:rPr>
        <w:t>Signpost support</w:t>
      </w:r>
      <w:r>
        <w:rPr>
          <w:rFonts w:ascii="Calibri" w:hAnsi="Calibri"/>
          <w:b w:val="0"/>
          <w:i w:val="0"/>
          <w:color w:val="1B2A32"/>
          <w:sz w:val="21"/>
        </w:rPr>
        <w:t xml:space="preserve"> — legal aid, financial counselling, and, where there is any threat to safety, the police.</w:t>
      </w:r>
    </w:p>
    <w:p>
      <w:pPr>
        <w:pStyle w:val="ListBullet"/>
        <w:spacing w:after="60"/>
        <w:jc w:val="both"/>
      </w:pPr>
      <w:r>
        <w:rPr>
          <w:rFonts w:ascii="Calibri" w:hAnsi="Calibri"/>
          <w:b/>
          <w:i w:val="0"/>
          <w:color w:val="1B2A32"/>
          <w:sz w:val="21"/>
        </w:rPr>
        <w:t>Capacity</w:t>
      </w:r>
      <w:r>
        <w:rPr>
          <w:rFonts w:ascii="Calibri" w:hAnsi="Calibri"/>
          <w:b w:val="0"/>
          <w:i w:val="0"/>
          <w:color w:val="1B2A32"/>
          <w:sz w:val="21"/>
        </w:rPr>
        <w:t xml:space="preserve"> — where a borrower appears unable to give informed consent, pause and escalate to a senior neutral.</w:t>
      </w:r>
    </w:p>
    <w:p>
      <w:pPr>
        <w:pStyle w:val="ListBullet"/>
        <w:spacing w:after="60"/>
        <w:jc w:val="both"/>
      </w:pPr>
      <w:r>
        <w:rPr>
          <w:rFonts w:ascii="Calibri" w:hAnsi="Calibri"/>
          <w:b/>
          <w:i w:val="0"/>
          <w:color w:val="1B2A32"/>
          <w:sz w:val="21"/>
        </w:rPr>
        <w:t>Special care</w:t>
      </w:r>
      <w:r>
        <w:rPr>
          <w:rFonts w:ascii="Calibri" w:hAnsi="Calibri"/>
          <w:b w:val="0"/>
          <w:i w:val="0"/>
          <w:color w:val="1B2A32"/>
          <w:sz w:val="21"/>
        </w:rPr>
        <w:t xml:space="preserve"> for microfinance, small-ticket and first-time borrowers, and for guarantors who did not benefit from the loan.</w:t>
      </w:r>
    </w:p>
    <w:p>
      <w:pPr>
        <w:spacing w:after="40"/>
      </w:pP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A settlement extracted from a borrower who could not understand or afford it is a failure of the process, even if signed. Fairness and voluntariness come before closure.</w:t>
            </w:r>
          </w:p>
        </w:tc>
      </w:tr>
    </w:tbl>
    <w:p>
      <w:pPr>
        <w:spacing w:after="120"/>
      </w:pPr>
    </w:p>
    <w:p>
      <w:pPr>
        <w:keepNext/>
        <w:spacing w:before="320" w:after="140"/>
        <w:pBdr>
          <w:bottom w:val="single" w:sz="12" w:space="3" w:color="C6A15B"/>
        </w:pBdr>
      </w:pPr>
      <w:r>
        <w:rPr>
          <w:rFonts w:ascii="Calibri" w:hAnsi="Calibri"/>
          <w:b/>
          <w:i w:val="0"/>
          <w:color w:val="123B4F"/>
          <w:sz w:val="34"/>
        </w:rPr>
        <w:t>44.  Expanded Permutation Matrix (If / Then)</w:t>
      </w:r>
    </w:p>
    <w:p>
      <w:pPr>
        <w:spacing w:after="140"/>
        <w:jc w:val="both"/>
      </w:pPr>
      <w:r>
        <w:rPr>
          <w:rFonts w:ascii="Calibri" w:hAnsi="Calibri"/>
          <w:b w:val="0"/>
          <w:i w:val="0"/>
          <w:color w:val="1B2A32"/>
          <w:sz w:val="21"/>
        </w:rPr>
        <w:t>A quick-reference for the case manager and the AI triage: given the facts, which route and safeguards apply.</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970"/>
            <w:shd w:val="clear" w:color="auto" w:fill="123B4F"/>
            <w:tcMar>
              <w:top w:w="60" w:type="dxa"/>
              <w:bottom w:w="60" w:type="dxa"/>
              <w:start w:w="110" w:type="dxa"/>
              <w:end w:w="110" w:type="dxa"/>
            </w:tcMar>
          </w:tcPr>
          <w:p>
            <w:pPr>
              <w:spacing w:after="0"/>
            </w:pPr>
            <w:r>
              <w:rPr>
                <w:rFonts w:ascii="Calibri" w:hAnsi="Calibri"/>
                <w:b/>
                <w:i w:val="0"/>
                <w:color w:val="FFFFFF"/>
                <w:sz w:val="17"/>
              </w:rPr>
              <w:t>If the dispute is…</w:t>
            </w:r>
          </w:p>
        </w:tc>
        <w:tc>
          <w:tcPr>
            <w:tcW w:type="dxa" w:w="3118"/>
            <w:shd w:val="clear" w:color="auto" w:fill="123B4F"/>
            <w:tcMar>
              <w:top w:w="60" w:type="dxa"/>
              <w:bottom w:w="60" w:type="dxa"/>
              <w:start w:w="110" w:type="dxa"/>
              <w:end w:w="110" w:type="dxa"/>
            </w:tcMar>
          </w:tcPr>
          <w:p>
            <w:pPr>
              <w:spacing w:after="0"/>
            </w:pPr>
            <w:r>
              <w:rPr>
                <w:rFonts w:ascii="Calibri" w:hAnsi="Calibri"/>
                <w:b/>
                <w:i w:val="0"/>
                <w:color w:val="FFFFFF"/>
                <w:sz w:val="17"/>
              </w:rPr>
              <w:t>Then the route is…</w:t>
            </w:r>
          </w:p>
        </w:tc>
        <w:tc>
          <w:tcPr>
            <w:tcW w:type="dxa" w:w="3415"/>
            <w:shd w:val="clear" w:color="auto" w:fill="123B4F"/>
            <w:tcMar>
              <w:top w:w="60" w:type="dxa"/>
              <w:bottom w:w="60" w:type="dxa"/>
              <w:start w:w="110" w:type="dxa"/>
              <w:end w:w="110" w:type="dxa"/>
            </w:tcMar>
          </w:tcPr>
          <w:p>
            <w:pPr>
              <w:spacing w:after="0"/>
            </w:pPr>
            <w:r>
              <w:rPr>
                <w:rFonts w:ascii="Calibri" w:hAnsi="Calibri"/>
                <w:b/>
                <w:i w:val="0"/>
                <w:color w:val="FFFFFF"/>
                <w:sz w:val="17"/>
              </w:rPr>
              <w:t>Key safeguards / notes</w:t>
            </w:r>
          </w:p>
        </w:tc>
      </w:tr>
      <w:tr>
        <w:trPr>
          <w:trHeight w:val="0"/>
        </w:trPr>
        <w:tc>
          <w:tcPr>
            <w:tcW w:type="dxa" w:w="2970"/>
            <w:tcMar>
              <w:top w:w="60" w:type="dxa"/>
              <w:bottom w:w="60" w:type="dxa"/>
              <w:start w:w="110" w:type="dxa"/>
              <w:end w:w="110" w:type="dxa"/>
            </w:tcMar>
          </w:tcPr>
          <w:p>
            <w:pPr>
              <w:spacing w:after="0"/>
              <w:jc w:val="left"/>
            </w:pPr>
            <w:r>
              <w:rPr>
                <w:rFonts w:ascii="Calibri" w:hAnsi="Calibri"/>
                <w:b w:val="0"/>
                <w:i w:val="0"/>
                <w:color w:val="1B2A32"/>
                <w:sz w:val="17"/>
              </w:rPr>
              <w:t>Unsecured default, borrower wants to settle</w:t>
            </w:r>
          </w:p>
        </w:tc>
        <w:tc>
          <w:tcPr>
            <w:tcW w:type="dxa" w:w="3118"/>
            <w:tcMar>
              <w:top w:w="60" w:type="dxa"/>
              <w:bottom w:w="60" w:type="dxa"/>
              <w:start w:w="110" w:type="dxa"/>
              <w:end w:w="110" w:type="dxa"/>
            </w:tcMar>
          </w:tcPr>
          <w:p>
            <w:pPr>
              <w:spacing w:after="0"/>
              <w:jc w:val="left"/>
            </w:pPr>
            <w:r>
              <w:rPr>
                <w:rFonts w:ascii="Calibri" w:hAnsi="Calibri"/>
                <w:b w:val="0"/>
                <w:i w:val="0"/>
                <w:color w:val="1B2A32"/>
                <w:sz w:val="17"/>
              </w:rPr>
              <w:t>Mediation + OTS (escrow)</w:t>
            </w:r>
          </w:p>
        </w:tc>
        <w:tc>
          <w:tcPr>
            <w:tcW w:type="dxa" w:w="3415"/>
            <w:tcMar>
              <w:top w:w="60" w:type="dxa"/>
              <w:bottom w:w="60" w:type="dxa"/>
              <w:start w:w="110" w:type="dxa"/>
              <w:end w:w="110" w:type="dxa"/>
            </w:tcMar>
          </w:tcPr>
          <w:p>
            <w:pPr>
              <w:spacing w:after="0"/>
              <w:jc w:val="left"/>
            </w:pPr>
            <w:r>
              <w:rPr>
                <w:rFonts w:ascii="Calibri" w:hAnsi="Calibri"/>
                <w:b w:val="0"/>
                <w:i w:val="0"/>
                <w:color w:val="1B2A32"/>
                <w:sz w:val="17"/>
              </w:rPr>
              <w:t>Verify dues; within board policy; bureau cure</w:t>
            </w:r>
          </w:p>
        </w:tc>
      </w:tr>
      <w:tr>
        <w:trPr>
          <w:trHeight w:val="0"/>
        </w:trPr>
        <w:tc>
          <w:tcPr>
            <w:tcW w:type="dxa" w:w="297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Secured (home/vehicle), lender enforcing</w:t>
            </w:r>
          </w:p>
        </w:tc>
        <w:tc>
          <w:tcPr>
            <w:tcW w:type="dxa" w:w="3118"/>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OTS around SARFAESI/DRT</w:t>
            </w:r>
          </w:p>
        </w:tc>
        <w:tc>
          <w:tcPr>
            <w:tcW w:type="dxa" w:w="3415"/>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Non-mediable enforcement; no promise to stay; release security on payment</w:t>
            </w:r>
          </w:p>
        </w:tc>
      </w:tr>
      <w:tr>
        <w:trPr>
          <w:trHeight w:val="0"/>
        </w:trPr>
        <w:tc>
          <w:tcPr>
            <w:tcW w:type="dxa" w:w="2970"/>
            <w:tcMar>
              <w:top w:w="60" w:type="dxa"/>
              <w:bottom w:w="60" w:type="dxa"/>
              <w:start w:w="110" w:type="dxa"/>
              <w:end w:w="110" w:type="dxa"/>
            </w:tcMar>
          </w:tcPr>
          <w:p>
            <w:pPr>
              <w:spacing w:after="0"/>
              <w:jc w:val="left"/>
            </w:pPr>
            <w:r>
              <w:rPr>
                <w:rFonts w:ascii="Calibri" w:hAnsi="Calibri"/>
                <w:b w:val="0"/>
                <w:i w:val="0"/>
                <w:color w:val="1B2A32"/>
                <w:sz w:val="17"/>
              </w:rPr>
              <w:t>Dishonoured cheque for a debt</w:t>
            </w:r>
          </w:p>
        </w:tc>
        <w:tc>
          <w:tcPr>
            <w:tcW w:type="dxa" w:w="3118"/>
            <w:tcMar>
              <w:top w:w="60" w:type="dxa"/>
              <w:bottom w:w="60" w:type="dxa"/>
              <w:start w:w="110" w:type="dxa"/>
              <w:end w:w="110" w:type="dxa"/>
            </w:tcMar>
          </w:tcPr>
          <w:p>
            <w:pPr>
              <w:spacing w:after="0"/>
              <w:jc w:val="left"/>
            </w:pPr>
            <w:r>
              <w:rPr>
                <w:rFonts w:ascii="Calibri" w:hAnsi="Calibri"/>
                <w:b w:val="0"/>
                <w:i w:val="0"/>
                <w:color w:val="1B2A32"/>
                <w:sz w:val="17"/>
              </w:rPr>
              <w:t>Mediation → compounding / Lok Adalat</w:t>
            </w:r>
          </w:p>
        </w:tc>
        <w:tc>
          <w:tcPr>
            <w:tcW w:type="dxa" w:w="3415"/>
            <w:tcMar>
              <w:top w:w="60" w:type="dxa"/>
              <w:bottom w:w="60" w:type="dxa"/>
              <w:start w:w="110" w:type="dxa"/>
              <w:end w:w="110" w:type="dxa"/>
            </w:tcMar>
          </w:tcPr>
          <w:p>
            <w:pPr>
              <w:spacing w:after="0"/>
              <w:jc w:val="left"/>
            </w:pPr>
            <w:r>
              <w:rPr>
                <w:rFonts w:ascii="Calibri" w:hAnsi="Calibri"/>
                <w:b w:val="0"/>
                <w:i w:val="0"/>
                <w:color w:val="1B2A32"/>
                <w:sz w:val="17"/>
              </w:rPr>
              <w:t>Escrow the amount; no threat of conviction; legal advice</w:t>
            </w:r>
          </w:p>
        </w:tc>
      </w:tr>
      <w:tr>
        <w:trPr>
          <w:trHeight w:val="0"/>
        </w:trPr>
        <w:tc>
          <w:tcPr>
            <w:tcW w:type="dxa" w:w="297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Service complaint unresolved 30 days</w:t>
            </w:r>
          </w:p>
        </w:tc>
        <w:tc>
          <w:tcPr>
            <w:tcW w:type="dxa" w:w="3118"/>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Signpost RBI Ombudsman + mediate money</w:t>
            </w:r>
          </w:p>
        </w:tc>
        <w:tc>
          <w:tcPr>
            <w:tcW w:type="dxa" w:w="3415"/>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Borrower-only Ombudsman; free; parallel settlement</w:t>
            </w:r>
          </w:p>
        </w:tc>
      </w:tr>
      <w:tr>
        <w:trPr>
          <w:trHeight w:val="0"/>
        </w:trPr>
        <w:tc>
          <w:tcPr>
            <w:tcW w:type="dxa" w:w="2970"/>
            <w:tcMar>
              <w:top w:w="60" w:type="dxa"/>
              <w:bottom w:w="60" w:type="dxa"/>
              <w:start w:w="110" w:type="dxa"/>
              <w:end w:w="110" w:type="dxa"/>
            </w:tcMar>
          </w:tcPr>
          <w:p>
            <w:pPr>
              <w:spacing w:after="0"/>
              <w:jc w:val="left"/>
            </w:pPr>
            <w:r>
              <w:rPr>
                <w:rFonts w:ascii="Calibri" w:hAnsi="Calibri"/>
                <w:b w:val="0"/>
                <w:i w:val="0"/>
                <w:color w:val="1B2A32"/>
                <w:sz w:val="17"/>
              </w:rPr>
              <w:t>Recovery harassment</w:t>
            </w:r>
          </w:p>
        </w:tc>
        <w:tc>
          <w:tcPr>
            <w:tcW w:type="dxa" w:w="3118"/>
            <w:tcMar>
              <w:top w:w="60" w:type="dxa"/>
              <w:bottom w:w="60" w:type="dxa"/>
              <w:start w:w="110" w:type="dxa"/>
              <w:end w:w="110" w:type="dxa"/>
            </w:tcMar>
          </w:tcPr>
          <w:p>
            <w:pPr>
              <w:spacing w:after="0"/>
              <w:jc w:val="left"/>
            </w:pPr>
            <w:r>
              <w:rPr>
                <w:rFonts w:ascii="Calibri" w:hAnsi="Calibri"/>
                <w:b w:val="0"/>
                <w:i w:val="0"/>
                <w:color w:val="1B2A32"/>
                <w:sz w:val="17"/>
              </w:rPr>
              <w:t>Grievance + escalation + mediation</w:t>
            </w:r>
          </w:p>
        </w:tc>
        <w:tc>
          <w:tcPr>
            <w:tcW w:type="dxa" w:w="3415"/>
            <w:tcMar>
              <w:top w:w="60" w:type="dxa"/>
              <w:bottom w:w="60" w:type="dxa"/>
              <w:start w:w="110" w:type="dxa"/>
              <w:end w:w="110" w:type="dxa"/>
            </w:tcMar>
          </w:tcPr>
          <w:p>
            <w:pPr>
              <w:spacing w:after="0"/>
              <w:jc w:val="left"/>
            </w:pPr>
            <w:r>
              <w:rPr>
                <w:rFonts w:ascii="Calibri" w:hAnsi="Calibri"/>
                <w:b w:val="0"/>
                <w:i w:val="0"/>
                <w:color w:val="1B2A32"/>
                <w:sz w:val="17"/>
              </w:rPr>
              <w:t>Evidence; FPC/BNS; police if danger</w:t>
            </w:r>
          </w:p>
        </w:tc>
      </w:tr>
      <w:tr>
        <w:trPr>
          <w:trHeight w:val="0"/>
        </w:trPr>
        <w:tc>
          <w:tcPr>
            <w:tcW w:type="dxa" w:w="297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Digital-lending/app issue</w:t>
            </w:r>
          </w:p>
        </w:tc>
        <w:tc>
          <w:tcPr>
            <w:tcW w:type="dxa" w:w="3118"/>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DL grievance (RBI 2025) + settlement</w:t>
            </w:r>
          </w:p>
        </w:tc>
        <w:tc>
          <w:tcPr>
            <w:tcW w:type="dxa" w:w="3415"/>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Check KFS/APR/consent/disbursal; identify RE vs LSP</w:t>
            </w:r>
          </w:p>
        </w:tc>
      </w:tr>
      <w:tr>
        <w:trPr>
          <w:trHeight w:val="0"/>
        </w:trPr>
        <w:tc>
          <w:tcPr>
            <w:tcW w:type="dxa" w:w="2970"/>
            <w:tcMar>
              <w:top w:w="60" w:type="dxa"/>
              <w:bottom w:w="60" w:type="dxa"/>
              <w:start w:w="110" w:type="dxa"/>
              <w:end w:w="110" w:type="dxa"/>
            </w:tcMar>
          </w:tcPr>
          <w:p>
            <w:pPr>
              <w:spacing w:after="0"/>
              <w:jc w:val="left"/>
            </w:pPr>
            <w:r>
              <w:rPr>
                <w:rFonts w:ascii="Calibri" w:hAnsi="Calibri"/>
                <w:b w:val="0"/>
                <w:i w:val="0"/>
                <w:color w:val="1B2A32"/>
                <w:sz w:val="17"/>
              </w:rPr>
              <w:t>Wrong charges / mis-selling</w:t>
            </w:r>
          </w:p>
        </w:tc>
        <w:tc>
          <w:tcPr>
            <w:tcW w:type="dxa" w:w="3118"/>
            <w:tcMar>
              <w:top w:w="60" w:type="dxa"/>
              <w:bottom w:w="60" w:type="dxa"/>
              <w:start w:w="110" w:type="dxa"/>
              <w:end w:w="110" w:type="dxa"/>
            </w:tcMar>
          </w:tcPr>
          <w:p>
            <w:pPr>
              <w:spacing w:after="0"/>
              <w:jc w:val="left"/>
            </w:pPr>
            <w:r>
              <w:rPr>
                <w:rFonts w:ascii="Calibri" w:hAnsi="Calibri"/>
                <w:b w:val="0"/>
                <w:i w:val="0"/>
                <w:color w:val="1B2A32"/>
                <w:sz w:val="17"/>
              </w:rPr>
              <w:t>Mediation (or consumer forum)</w:t>
            </w:r>
          </w:p>
        </w:tc>
        <w:tc>
          <w:tcPr>
            <w:tcW w:type="dxa" w:w="3415"/>
            <w:tcMar>
              <w:top w:w="60" w:type="dxa"/>
              <w:bottom w:w="60" w:type="dxa"/>
              <w:start w:w="110" w:type="dxa"/>
              <w:end w:w="110" w:type="dxa"/>
            </w:tcMar>
          </w:tcPr>
          <w:p>
            <w:pPr>
              <w:spacing w:after="0"/>
              <w:jc w:val="left"/>
            </w:pPr>
            <w:r>
              <w:rPr>
                <w:rFonts w:ascii="Calibri" w:hAnsi="Calibri"/>
                <w:b w:val="0"/>
                <w:i w:val="0"/>
                <w:color w:val="1B2A32"/>
                <w:sz w:val="17"/>
              </w:rPr>
              <w:t>Fold correction into settlement; bureau cure</w:t>
            </w:r>
          </w:p>
        </w:tc>
      </w:tr>
      <w:tr>
        <w:trPr>
          <w:trHeight w:val="0"/>
        </w:trPr>
        <w:tc>
          <w:tcPr>
            <w:tcW w:type="dxa" w:w="297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MSME borrower is also an aggrieved supplier</w:t>
            </w:r>
          </w:p>
        </w:tc>
        <w:tc>
          <w:tcPr>
            <w:tcW w:type="dxa" w:w="3118"/>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Mediation + (separately) MSME Samadhaan</w:t>
            </w:r>
          </w:p>
        </w:tc>
        <w:tc>
          <w:tcPr>
            <w:tcW w:type="dxa" w:w="3415"/>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Keep the loan dispute and the supplier claim distinct</w:t>
            </w:r>
          </w:p>
        </w:tc>
      </w:tr>
      <w:tr>
        <w:trPr>
          <w:trHeight w:val="0"/>
        </w:trPr>
        <w:tc>
          <w:tcPr>
            <w:tcW w:type="dxa" w:w="2970"/>
            <w:tcMar>
              <w:top w:w="60" w:type="dxa"/>
              <w:bottom w:w="60" w:type="dxa"/>
              <w:start w:w="110" w:type="dxa"/>
              <w:end w:w="110" w:type="dxa"/>
            </w:tcMar>
          </w:tcPr>
          <w:p>
            <w:pPr>
              <w:spacing w:after="0"/>
              <w:jc w:val="left"/>
            </w:pPr>
            <w:r>
              <w:rPr>
                <w:rFonts w:ascii="Calibri" w:hAnsi="Calibri"/>
                <w:b w:val="0"/>
                <w:i w:val="0"/>
                <w:color w:val="1B2A32"/>
                <w:sz w:val="17"/>
              </w:rPr>
              <w:t>Fraud / wilful default / criminal</w:t>
            </w:r>
          </w:p>
        </w:tc>
        <w:tc>
          <w:tcPr>
            <w:tcW w:type="dxa" w:w="3118"/>
            <w:tcMar>
              <w:top w:w="60" w:type="dxa"/>
              <w:bottom w:w="60" w:type="dxa"/>
              <w:start w:w="110" w:type="dxa"/>
              <w:end w:w="110" w:type="dxa"/>
            </w:tcMar>
          </w:tcPr>
          <w:p>
            <w:pPr>
              <w:spacing w:after="0"/>
              <w:jc w:val="left"/>
            </w:pPr>
            <w:r>
              <w:rPr>
                <w:rFonts w:ascii="Calibri" w:hAnsi="Calibri"/>
                <w:b w:val="0"/>
                <w:i w:val="0"/>
                <w:color w:val="1B2A32"/>
                <w:sz w:val="17"/>
              </w:rPr>
              <w:t>Signpost; limited compounding only</w:t>
            </w:r>
          </w:p>
        </w:tc>
        <w:tc>
          <w:tcPr>
            <w:tcW w:type="dxa" w:w="3415"/>
            <w:tcMar>
              <w:top w:w="60" w:type="dxa"/>
              <w:bottom w:w="60" w:type="dxa"/>
              <w:start w:w="110" w:type="dxa"/>
              <w:end w:w="110" w:type="dxa"/>
            </w:tcMar>
          </w:tcPr>
          <w:p>
            <w:pPr>
              <w:spacing w:after="0"/>
              <w:jc w:val="left"/>
            </w:pPr>
            <w:r>
              <w:rPr>
                <w:rFonts w:ascii="Calibri" w:hAnsi="Calibri"/>
                <w:b w:val="0"/>
                <w:i w:val="0"/>
                <w:color w:val="1B2A32"/>
                <w:sz w:val="17"/>
              </w:rPr>
              <w:t>Beyond consensual settlement; take advice</w:t>
            </w:r>
          </w:p>
        </w:tc>
      </w:tr>
    </w:tbl>
    <w:p>
      <w:pPr>
        <w:spacing w:after="80"/>
      </w:pPr>
    </w:p>
    <w:p>
      <w:pPr>
        <w:keepNext/>
        <w:spacing w:before="320" w:after="140"/>
        <w:pBdr>
          <w:bottom w:val="single" w:sz="12" w:space="3" w:color="C6A15B"/>
        </w:pBdr>
      </w:pPr>
      <w:r>
        <w:rPr>
          <w:rFonts w:ascii="Calibri" w:hAnsi="Calibri"/>
          <w:b/>
          <w:i w:val="0"/>
          <w:color w:val="123B4F"/>
          <w:sz w:val="34"/>
        </w:rPr>
        <w:t>45.  The Law As At July 2026</w:t>
      </w:r>
    </w:p>
    <w:p>
      <w:pPr>
        <w:spacing w:after="140"/>
        <w:jc w:val="both"/>
      </w:pPr>
      <w:r>
        <w:rPr>
          <w:rFonts w:ascii="Calibri" w:hAnsi="Calibri"/>
          <w:b w:val="0"/>
          <w:i w:val="0"/>
          <w:color w:val="1B2A32"/>
          <w:sz w:val="21"/>
        </w:rPr>
        <w:t>The financial vertical is built on the following principal authorities. Confirm the current position at go-live; items marked [verify] should be checked against the latest circulars and notifications.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3267"/>
            <w:shd w:val="clear" w:color="auto" w:fill="123B4F"/>
            <w:tcMar>
              <w:top w:w="60" w:type="dxa"/>
              <w:bottom w:w="60" w:type="dxa"/>
              <w:start w:w="110" w:type="dxa"/>
              <w:end w:w="110" w:type="dxa"/>
            </w:tcMar>
          </w:tcPr>
          <w:p>
            <w:pPr>
              <w:spacing w:after="0"/>
            </w:pPr>
            <w:r>
              <w:rPr>
                <w:rFonts w:ascii="Calibri" w:hAnsi="Calibri"/>
                <w:b/>
                <w:i w:val="0"/>
                <w:color w:val="FFFFFF"/>
                <w:sz w:val="16"/>
              </w:rPr>
              <w:t>Instrument / authority</w:t>
            </w:r>
          </w:p>
        </w:tc>
        <w:tc>
          <w:tcPr>
            <w:tcW w:type="dxa" w:w="3415"/>
            <w:shd w:val="clear" w:color="auto" w:fill="123B4F"/>
            <w:tcMar>
              <w:top w:w="60" w:type="dxa"/>
              <w:bottom w:w="60" w:type="dxa"/>
              <w:start w:w="110" w:type="dxa"/>
              <w:end w:w="110" w:type="dxa"/>
            </w:tcMar>
          </w:tcPr>
          <w:p>
            <w:pPr>
              <w:spacing w:after="0"/>
            </w:pPr>
            <w:r>
              <w:rPr>
                <w:rFonts w:ascii="Calibri" w:hAnsi="Calibri"/>
                <w:b/>
                <w:i w:val="0"/>
                <w:color w:val="FFFFFF"/>
                <w:sz w:val="16"/>
              </w:rPr>
              <w:t>Relevance</w:t>
            </w:r>
          </w:p>
        </w:tc>
        <w:tc>
          <w:tcPr>
            <w:tcW w:type="dxa" w:w="2821"/>
            <w:shd w:val="clear" w:color="auto" w:fill="123B4F"/>
            <w:tcMar>
              <w:top w:w="60" w:type="dxa"/>
              <w:bottom w:w="60" w:type="dxa"/>
              <w:start w:w="110" w:type="dxa"/>
              <w:end w:w="110" w:type="dxa"/>
            </w:tcMar>
          </w:tcPr>
          <w:p>
            <w:pPr>
              <w:spacing w:after="0"/>
            </w:pPr>
            <w:r>
              <w:rPr>
                <w:rFonts w:ascii="Calibri" w:hAnsi="Calibri"/>
                <w:b/>
                <w:i w:val="0"/>
                <w:color w:val="FFFFFF"/>
                <w:sz w:val="16"/>
              </w:rPr>
              <w:t>Note</w:t>
            </w:r>
          </w:p>
        </w:tc>
      </w:tr>
      <w:tr>
        <w:trPr>
          <w:trHeight w:val="0"/>
        </w:trPr>
        <w:tc>
          <w:tcPr>
            <w:tcW w:type="dxa" w:w="3267"/>
            <w:tcMar>
              <w:top w:w="60" w:type="dxa"/>
              <w:bottom w:w="60" w:type="dxa"/>
              <w:start w:w="110" w:type="dxa"/>
              <w:end w:w="110" w:type="dxa"/>
            </w:tcMar>
          </w:tcPr>
          <w:p>
            <w:pPr>
              <w:spacing w:after="0"/>
              <w:jc w:val="left"/>
            </w:pPr>
            <w:r>
              <w:rPr>
                <w:rFonts w:ascii="Calibri" w:hAnsi="Calibri"/>
                <w:b w:val="0"/>
                <w:i w:val="0"/>
                <w:color w:val="1B2A32"/>
                <w:sz w:val="16"/>
              </w:rPr>
              <w:t>Mediation Act, 2023</w:t>
            </w:r>
          </w:p>
        </w:tc>
        <w:tc>
          <w:tcPr>
            <w:tcW w:type="dxa" w:w="3415"/>
            <w:tcMar>
              <w:top w:w="60" w:type="dxa"/>
              <w:bottom w:w="60" w:type="dxa"/>
              <w:start w:w="110" w:type="dxa"/>
              <w:end w:w="110" w:type="dxa"/>
            </w:tcMar>
          </w:tcPr>
          <w:p>
            <w:pPr>
              <w:spacing w:after="0"/>
              <w:jc w:val="left"/>
            </w:pPr>
            <w:r>
              <w:rPr>
                <w:rFonts w:ascii="Calibri" w:hAnsi="Calibri"/>
                <w:b w:val="0"/>
                <w:i w:val="0"/>
                <w:color w:val="1B2A32"/>
                <w:sz w:val="16"/>
              </w:rPr>
              <w:t>MSA enforceable as a decree (s.27); registration (s.20); confidentiality (s.22); MCI</w:t>
            </w:r>
          </w:p>
        </w:tc>
        <w:tc>
          <w:tcPr>
            <w:tcW w:type="dxa" w:w="2821"/>
            <w:tcMar>
              <w:top w:w="60" w:type="dxa"/>
              <w:bottom w:w="60" w:type="dxa"/>
              <w:start w:w="110" w:type="dxa"/>
              <w:end w:w="110" w:type="dxa"/>
            </w:tcMar>
          </w:tcPr>
          <w:p>
            <w:pPr>
              <w:spacing w:after="0"/>
              <w:jc w:val="left"/>
            </w:pPr>
            <w:r>
              <w:rPr>
                <w:rFonts w:ascii="Calibri" w:hAnsi="Calibri"/>
                <w:b w:val="0"/>
                <w:i w:val="0"/>
                <w:color w:val="1B2A32"/>
                <w:sz w:val="16"/>
              </w:rPr>
              <w:t>In force; MCI rules being operationalised [verify]</w:t>
            </w:r>
          </w:p>
        </w:tc>
      </w:tr>
      <w:tr>
        <w:trPr>
          <w:trHeight w:val="0"/>
        </w:trPr>
        <w:tc>
          <w:tcPr>
            <w:tcW w:type="dxa" w:w="3267"/>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RBI Integrated Ombudsman Scheme, 2021</w:t>
            </w:r>
          </w:p>
        </w:tc>
        <w:tc>
          <w:tcPr>
            <w:tcW w:type="dxa" w:w="3415"/>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One free redress window; 30-day escalation (9.34 lakh complaints in FY24)</w:t>
            </w:r>
          </w:p>
        </w:tc>
        <w:tc>
          <w:tcPr>
            <w:tcW w:type="dxa" w:w="282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In force</w:t>
            </w:r>
          </w:p>
        </w:tc>
      </w:tr>
      <w:tr>
        <w:trPr>
          <w:trHeight w:val="0"/>
        </w:trPr>
        <w:tc>
          <w:tcPr>
            <w:tcW w:type="dxa" w:w="3267"/>
            <w:tcMar>
              <w:top w:w="60" w:type="dxa"/>
              <w:bottom w:w="60" w:type="dxa"/>
              <w:start w:w="110" w:type="dxa"/>
              <w:end w:w="110" w:type="dxa"/>
            </w:tcMar>
          </w:tcPr>
          <w:p>
            <w:pPr>
              <w:spacing w:after="0"/>
              <w:jc w:val="left"/>
            </w:pPr>
            <w:r>
              <w:rPr>
                <w:rFonts w:ascii="Calibri" w:hAnsi="Calibri"/>
                <w:b w:val="0"/>
                <w:i w:val="0"/>
                <w:color w:val="1B2A32"/>
                <w:sz w:val="16"/>
              </w:rPr>
              <w:t>RBI (Digital Lending) Directions, 2025</w:t>
            </w:r>
          </w:p>
        </w:tc>
        <w:tc>
          <w:tcPr>
            <w:tcW w:type="dxa" w:w="3415"/>
            <w:tcMar>
              <w:top w:w="60" w:type="dxa"/>
              <w:bottom w:w="60" w:type="dxa"/>
              <w:start w:w="110" w:type="dxa"/>
              <w:end w:w="110" w:type="dxa"/>
            </w:tcMar>
          </w:tcPr>
          <w:p>
            <w:pPr>
              <w:spacing w:after="0"/>
              <w:jc w:val="left"/>
            </w:pPr>
            <w:r>
              <w:rPr>
                <w:rFonts w:ascii="Calibri" w:hAnsi="Calibri"/>
                <w:b w:val="0"/>
                <w:i w:val="0"/>
                <w:color w:val="1B2A32"/>
                <w:sz w:val="16"/>
              </w:rPr>
              <w:t>KFS/APR, cooling-off (1–3 days), direct disbursal, FLDG cap 5%, grievance officer</w:t>
            </w:r>
          </w:p>
        </w:tc>
        <w:tc>
          <w:tcPr>
            <w:tcW w:type="dxa" w:w="2821"/>
            <w:tcMar>
              <w:top w:w="60" w:type="dxa"/>
              <w:bottom w:w="60" w:type="dxa"/>
              <w:start w:w="110" w:type="dxa"/>
              <w:end w:w="110" w:type="dxa"/>
            </w:tcMar>
          </w:tcPr>
          <w:p>
            <w:pPr>
              <w:spacing w:after="0"/>
              <w:jc w:val="left"/>
            </w:pPr>
            <w:r>
              <w:rPr>
                <w:rFonts w:ascii="Calibri" w:hAnsi="Calibri"/>
                <w:b w:val="0"/>
                <w:i w:val="0"/>
                <w:color w:val="1B2A32"/>
                <w:sz w:val="16"/>
              </w:rPr>
              <w:t>In force — dated 8 May 2025</w:t>
            </w:r>
          </w:p>
        </w:tc>
      </w:tr>
      <w:tr>
        <w:trPr>
          <w:trHeight w:val="0"/>
        </w:trPr>
        <w:tc>
          <w:tcPr>
            <w:tcW w:type="dxa" w:w="3267"/>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Negotiable Instruments Act, 1881 (ss.138,147,143A,148)</w:t>
            </w:r>
          </w:p>
        </w:tc>
        <w:tc>
          <w:tcPr>
            <w:tcW w:type="dxa" w:w="3415"/>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Cheque dishonour; compounding; interim compensation ≤20% (143A); appeal deposit ≥20% (148)</w:t>
            </w:r>
          </w:p>
        </w:tc>
        <w:tc>
          <w:tcPr>
            <w:tcW w:type="dxa" w:w="282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In force</w:t>
            </w:r>
          </w:p>
        </w:tc>
      </w:tr>
      <w:tr>
        <w:trPr>
          <w:trHeight w:val="0"/>
        </w:trPr>
        <w:tc>
          <w:tcPr>
            <w:tcW w:type="dxa" w:w="3267"/>
            <w:tcMar>
              <w:top w:w="60" w:type="dxa"/>
              <w:bottom w:w="60" w:type="dxa"/>
              <w:start w:w="110" w:type="dxa"/>
              <w:end w:w="110" w:type="dxa"/>
            </w:tcMar>
          </w:tcPr>
          <w:p>
            <w:pPr>
              <w:spacing w:after="0"/>
              <w:jc w:val="left"/>
            </w:pPr>
            <w:r>
              <w:rPr>
                <w:rFonts w:ascii="Calibri" w:hAnsi="Calibri"/>
                <w:b w:val="0"/>
                <w:i w:val="0"/>
                <w:color w:val="1B2A32"/>
                <w:sz w:val="16"/>
              </w:rPr>
              <w:t>Damodar Prabhu v. Sayed Babalal (2010)</w:t>
            </w:r>
          </w:p>
        </w:tc>
        <w:tc>
          <w:tcPr>
            <w:tcW w:type="dxa" w:w="3415"/>
            <w:tcMar>
              <w:top w:w="60" w:type="dxa"/>
              <w:bottom w:w="60" w:type="dxa"/>
              <w:start w:w="110" w:type="dxa"/>
              <w:end w:w="110" w:type="dxa"/>
            </w:tcMar>
          </w:tcPr>
          <w:p>
            <w:pPr>
              <w:spacing w:after="0"/>
              <w:jc w:val="left"/>
            </w:pPr>
            <w:r>
              <w:rPr>
                <w:rFonts w:ascii="Calibri" w:hAnsi="Calibri"/>
                <w:b w:val="0"/>
                <w:i w:val="0"/>
                <w:color w:val="1B2A32"/>
                <w:sz w:val="16"/>
              </w:rPr>
              <w:t>Graded compounding costs</w:t>
            </w:r>
          </w:p>
        </w:tc>
        <w:tc>
          <w:tcPr>
            <w:tcW w:type="dxa" w:w="2821"/>
            <w:tcMar>
              <w:top w:w="60" w:type="dxa"/>
              <w:bottom w:w="60" w:type="dxa"/>
              <w:start w:w="110" w:type="dxa"/>
              <w:end w:w="110" w:type="dxa"/>
            </w:tcMar>
          </w:tcPr>
          <w:p>
            <w:pPr>
              <w:spacing w:after="0"/>
              <w:jc w:val="left"/>
            </w:pPr>
            <w:r>
              <w:rPr>
                <w:rFonts w:ascii="Calibri" w:hAnsi="Calibri"/>
                <w:b w:val="0"/>
                <w:i w:val="0"/>
                <w:color w:val="1B2A32"/>
                <w:sz w:val="16"/>
              </w:rPr>
              <w:t>Leading authority</w:t>
            </w:r>
          </w:p>
        </w:tc>
      </w:tr>
      <w:tr>
        <w:trPr>
          <w:trHeight w:val="0"/>
        </w:trPr>
        <w:tc>
          <w:tcPr>
            <w:tcW w:type="dxa" w:w="3267"/>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SARFAESI Act, 2002 / RDDBFI Act, 1993</w:t>
            </w:r>
          </w:p>
        </w:tc>
        <w:tc>
          <w:tcPr>
            <w:tcW w:type="dxa" w:w="3415"/>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Secured enforcement / DRT recovery — non-mediable</w:t>
            </w:r>
          </w:p>
        </w:tc>
        <w:tc>
          <w:tcPr>
            <w:tcW w:type="dxa" w:w="282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In force</w:t>
            </w:r>
          </w:p>
        </w:tc>
      </w:tr>
      <w:tr>
        <w:trPr>
          <w:trHeight w:val="0"/>
        </w:trPr>
        <w:tc>
          <w:tcPr>
            <w:tcW w:type="dxa" w:w="3267"/>
            <w:tcMar>
              <w:top w:w="60" w:type="dxa"/>
              <w:bottom w:w="60" w:type="dxa"/>
              <w:start w:w="110" w:type="dxa"/>
              <w:end w:w="110" w:type="dxa"/>
            </w:tcMar>
          </w:tcPr>
          <w:p>
            <w:pPr>
              <w:spacing w:after="0"/>
              <w:jc w:val="left"/>
            </w:pPr>
            <w:r>
              <w:rPr>
                <w:rFonts w:ascii="Calibri" w:hAnsi="Calibri"/>
                <w:b w:val="0"/>
                <w:i w:val="0"/>
                <w:color w:val="1B2A32"/>
                <w:sz w:val="16"/>
              </w:rPr>
              <w:t>RBI Compromise Settlements &amp; Technical Write-offs</w:t>
            </w:r>
          </w:p>
        </w:tc>
        <w:tc>
          <w:tcPr>
            <w:tcW w:type="dxa" w:w="3415"/>
            <w:tcMar>
              <w:top w:w="60" w:type="dxa"/>
              <w:bottom w:w="60" w:type="dxa"/>
              <w:start w:w="110" w:type="dxa"/>
              <w:end w:w="110" w:type="dxa"/>
            </w:tcMar>
          </w:tcPr>
          <w:p>
            <w:pPr>
              <w:spacing w:after="0"/>
              <w:jc w:val="left"/>
            </w:pPr>
            <w:r>
              <w:rPr>
                <w:rFonts w:ascii="Calibri" w:hAnsi="Calibri"/>
                <w:b w:val="0"/>
                <w:i w:val="0"/>
                <w:color w:val="1B2A32"/>
                <w:sz w:val="16"/>
              </w:rPr>
              <w:t>Board-approved OTS; 12-month cooling floor; accurate reporting</w:t>
            </w:r>
          </w:p>
        </w:tc>
        <w:tc>
          <w:tcPr>
            <w:tcW w:type="dxa" w:w="2821"/>
            <w:tcMar>
              <w:top w:w="60" w:type="dxa"/>
              <w:bottom w:w="60" w:type="dxa"/>
              <w:start w:w="110" w:type="dxa"/>
              <w:end w:w="110" w:type="dxa"/>
            </w:tcMar>
          </w:tcPr>
          <w:p>
            <w:pPr>
              <w:spacing w:after="0"/>
              <w:jc w:val="left"/>
            </w:pPr>
            <w:r>
              <w:rPr>
                <w:rFonts w:ascii="Calibri" w:hAnsi="Calibri"/>
                <w:b w:val="0"/>
                <w:i w:val="0"/>
                <w:color w:val="1B2A32"/>
                <w:sz w:val="16"/>
              </w:rPr>
              <w:t>In force — RBI/2023-24/40, 8 Jun 2023</w:t>
            </w:r>
          </w:p>
        </w:tc>
      </w:tr>
      <w:tr>
        <w:trPr>
          <w:trHeight w:val="0"/>
        </w:trPr>
        <w:tc>
          <w:tcPr>
            <w:tcW w:type="dxa" w:w="3267"/>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Credit Information Companies (Regulation) Act, 2005</w:t>
            </w:r>
          </w:p>
        </w:tc>
        <w:tc>
          <w:tcPr>
            <w:tcW w:type="dxa" w:w="3415"/>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Credit-bureau reporting &amp; correction</w:t>
            </w:r>
          </w:p>
        </w:tc>
        <w:tc>
          <w:tcPr>
            <w:tcW w:type="dxa" w:w="282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In force</w:t>
            </w:r>
          </w:p>
        </w:tc>
      </w:tr>
      <w:tr>
        <w:trPr>
          <w:trHeight w:val="0"/>
        </w:trPr>
        <w:tc>
          <w:tcPr>
            <w:tcW w:type="dxa" w:w="3267"/>
            <w:tcMar>
              <w:top w:w="60" w:type="dxa"/>
              <w:bottom w:w="60" w:type="dxa"/>
              <w:start w:w="110" w:type="dxa"/>
              <w:end w:w="110" w:type="dxa"/>
            </w:tcMar>
          </w:tcPr>
          <w:p>
            <w:pPr>
              <w:spacing w:after="0"/>
              <w:jc w:val="left"/>
            </w:pPr>
            <w:r>
              <w:rPr>
                <w:rFonts w:ascii="Calibri" w:hAnsi="Calibri"/>
                <w:b w:val="0"/>
                <w:i w:val="0"/>
                <w:color w:val="1B2A32"/>
                <w:sz w:val="16"/>
              </w:rPr>
              <w:t>Legal Services Authorities Act, 1987</w:t>
            </w:r>
          </w:p>
        </w:tc>
        <w:tc>
          <w:tcPr>
            <w:tcW w:type="dxa" w:w="3415"/>
            <w:tcMar>
              <w:top w:w="60" w:type="dxa"/>
              <w:bottom w:w="60" w:type="dxa"/>
              <w:start w:w="110" w:type="dxa"/>
              <w:end w:w="110" w:type="dxa"/>
            </w:tcMar>
          </w:tcPr>
          <w:p>
            <w:pPr>
              <w:spacing w:after="0"/>
              <w:jc w:val="left"/>
            </w:pPr>
            <w:r>
              <w:rPr>
                <w:rFonts w:ascii="Calibri" w:hAnsi="Calibri"/>
                <w:b w:val="0"/>
                <w:i w:val="0"/>
                <w:color w:val="1B2A32"/>
                <w:sz w:val="16"/>
              </w:rPr>
              <w:t>Lok Adalat award = civil-court decree</w:t>
            </w:r>
          </w:p>
        </w:tc>
        <w:tc>
          <w:tcPr>
            <w:tcW w:type="dxa" w:w="2821"/>
            <w:tcMar>
              <w:top w:w="60" w:type="dxa"/>
              <w:bottom w:w="60" w:type="dxa"/>
              <w:start w:w="110" w:type="dxa"/>
              <w:end w:w="110" w:type="dxa"/>
            </w:tcMar>
          </w:tcPr>
          <w:p>
            <w:pPr>
              <w:spacing w:after="0"/>
              <w:jc w:val="left"/>
            </w:pPr>
            <w:r>
              <w:rPr>
                <w:rFonts w:ascii="Calibri" w:hAnsi="Calibri"/>
                <w:b w:val="0"/>
                <w:i w:val="0"/>
                <w:color w:val="1B2A32"/>
                <w:sz w:val="16"/>
              </w:rPr>
              <w:t>In force</w:t>
            </w:r>
          </w:p>
        </w:tc>
      </w:tr>
      <w:tr>
        <w:trPr>
          <w:trHeight w:val="0"/>
        </w:trPr>
        <w:tc>
          <w:tcPr>
            <w:tcW w:type="dxa" w:w="3267"/>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DPDP Act, 2023 + Rules</w:t>
            </w:r>
          </w:p>
        </w:tc>
        <w:tc>
          <w:tcPr>
            <w:tcW w:type="dxa" w:w="3415"/>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Data protection; phased implementation</w:t>
            </w:r>
          </w:p>
        </w:tc>
        <w:tc>
          <w:tcPr>
            <w:tcW w:type="dxa" w:w="282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Phased to ~2027 [verify]</w:t>
            </w:r>
          </w:p>
        </w:tc>
      </w:tr>
    </w:tbl>
    <w:p>
      <w:pPr>
        <w:spacing w:after="80"/>
      </w:pPr>
    </w:p>
    <w:p>
      <w:pPr>
        <w:keepNext/>
        <w:spacing w:before="320" w:after="140"/>
        <w:pBdr>
          <w:bottom w:val="single" w:sz="12" w:space="3" w:color="C6A15B"/>
        </w:pBdr>
      </w:pPr>
      <w:r>
        <w:rPr>
          <w:rFonts w:ascii="Calibri" w:hAnsi="Calibri"/>
          <w:b/>
          <w:i w:val="0"/>
          <w:color w:val="123B4F"/>
          <w:sz w:val="34"/>
        </w:rPr>
        <w:t>46.  Data Protection Impact Assessment (DPIA) — Summary</w:t>
      </w:r>
    </w:p>
    <w:p>
      <w:pPr>
        <w:spacing w:after="140"/>
        <w:jc w:val="both"/>
      </w:pPr>
      <w:r>
        <w:rPr>
          <w:rFonts w:ascii="Calibri" w:hAnsi="Calibri"/>
          <w:b w:val="0"/>
          <w:i w:val="0"/>
          <w:color w:val="1B2A32"/>
          <w:sz w:val="21"/>
        </w:rPr>
        <w:t>Because the platform processes financial and identity data, a DPIA is maintained. This summary sets the frame; the full DPIA lives with the DPO.</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821"/>
            <w:shd w:val="clear" w:color="auto" w:fill="123B4F"/>
            <w:tcMar>
              <w:top w:w="60" w:type="dxa"/>
              <w:bottom w:w="60" w:type="dxa"/>
              <w:start w:w="110" w:type="dxa"/>
              <w:end w:w="110" w:type="dxa"/>
            </w:tcMar>
          </w:tcPr>
          <w:p>
            <w:pPr>
              <w:spacing w:after="0"/>
            </w:pPr>
            <w:r>
              <w:rPr>
                <w:rFonts w:ascii="Calibri" w:hAnsi="Calibri"/>
                <w:b/>
                <w:i w:val="0"/>
                <w:color w:val="FFFFFF"/>
                <w:sz w:val="17"/>
              </w:rPr>
              <w:t>Processing</w:t>
            </w:r>
          </w:p>
        </w:tc>
        <w:tc>
          <w:tcPr>
            <w:tcW w:type="dxa" w:w="3118"/>
            <w:shd w:val="clear" w:color="auto" w:fill="123B4F"/>
            <w:tcMar>
              <w:top w:w="60" w:type="dxa"/>
              <w:bottom w:w="60" w:type="dxa"/>
              <w:start w:w="110" w:type="dxa"/>
              <w:end w:w="110" w:type="dxa"/>
            </w:tcMar>
          </w:tcPr>
          <w:p>
            <w:pPr>
              <w:spacing w:after="0"/>
            </w:pPr>
            <w:r>
              <w:rPr>
                <w:rFonts w:ascii="Calibri" w:hAnsi="Calibri"/>
                <w:b/>
                <w:i w:val="0"/>
                <w:color w:val="FFFFFF"/>
                <w:sz w:val="17"/>
              </w:rPr>
              <w:t>Risk</w:t>
            </w:r>
          </w:p>
        </w:tc>
        <w:tc>
          <w:tcPr>
            <w:tcW w:type="dxa" w:w="3564"/>
            <w:shd w:val="clear" w:color="auto" w:fill="123B4F"/>
            <w:tcMar>
              <w:top w:w="60" w:type="dxa"/>
              <w:bottom w:w="60" w:type="dxa"/>
              <w:start w:w="110" w:type="dxa"/>
              <w:end w:w="110" w:type="dxa"/>
            </w:tcMar>
          </w:tcPr>
          <w:p>
            <w:pPr>
              <w:spacing w:after="0"/>
            </w:pPr>
            <w:r>
              <w:rPr>
                <w:rFonts w:ascii="Calibri" w:hAnsi="Calibri"/>
                <w:b/>
                <w:i w:val="0"/>
                <w:color w:val="FFFFFF"/>
                <w:sz w:val="17"/>
              </w:rPr>
              <w:t>Mitigation</w:t>
            </w:r>
          </w:p>
        </w:tc>
      </w:tr>
      <w:tr>
        <w:trPr>
          <w:trHeight w:val="0"/>
        </w:trPr>
        <w:tc>
          <w:tcPr>
            <w:tcW w:type="dxa" w:w="2821"/>
            <w:tcMar>
              <w:top w:w="60" w:type="dxa"/>
              <w:bottom w:w="60" w:type="dxa"/>
              <w:start w:w="110" w:type="dxa"/>
              <w:end w:w="110" w:type="dxa"/>
            </w:tcMar>
          </w:tcPr>
          <w:p>
            <w:pPr>
              <w:spacing w:after="0"/>
              <w:jc w:val="left"/>
            </w:pPr>
            <w:r>
              <w:rPr>
                <w:rFonts w:ascii="Calibri" w:hAnsi="Calibri"/>
                <w:b w:val="0"/>
                <w:i w:val="0"/>
                <w:color w:val="1B2A32"/>
                <w:sz w:val="17"/>
              </w:rPr>
              <w:t>KYC/KYB &amp; identity</w:t>
            </w:r>
          </w:p>
        </w:tc>
        <w:tc>
          <w:tcPr>
            <w:tcW w:type="dxa" w:w="3118"/>
            <w:tcMar>
              <w:top w:w="60" w:type="dxa"/>
              <w:bottom w:w="60" w:type="dxa"/>
              <w:start w:w="110" w:type="dxa"/>
              <w:end w:w="110" w:type="dxa"/>
            </w:tcMar>
          </w:tcPr>
          <w:p>
            <w:pPr>
              <w:spacing w:after="0"/>
              <w:jc w:val="left"/>
            </w:pPr>
            <w:r>
              <w:rPr>
                <w:rFonts w:ascii="Calibri" w:hAnsi="Calibri"/>
                <w:b w:val="0"/>
                <w:i w:val="0"/>
                <w:color w:val="1B2A32"/>
                <w:sz w:val="17"/>
              </w:rPr>
              <w:t>Identity theft; excess collection</w:t>
            </w:r>
          </w:p>
        </w:tc>
        <w:tc>
          <w:tcPr>
            <w:tcW w:type="dxa" w:w="3564"/>
            <w:tcMar>
              <w:top w:w="60" w:type="dxa"/>
              <w:bottom w:w="60" w:type="dxa"/>
              <w:start w:w="110" w:type="dxa"/>
              <w:end w:w="110" w:type="dxa"/>
            </w:tcMar>
          </w:tcPr>
          <w:p>
            <w:pPr>
              <w:spacing w:after="0"/>
              <w:jc w:val="left"/>
            </w:pPr>
            <w:r>
              <w:rPr>
                <w:rFonts w:ascii="Calibri" w:hAnsi="Calibri"/>
                <w:b w:val="0"/>
                <w:i w:val="0"/>
                <w:color w:val="1B2A32"/>
                <w:sz w:val="17"/>
              </w:rPr>
              <w:t>CKYC/masked IDs; minimisation; encryption; access control</w:t>
            </w:r>
          </w:p>
        </w:tc>
      </w:tr>
      <w:tr>
        <w:trPr>
          <w:trHeight w:val="0"/>
        </w:trPr>
        <w:tc>
          <w:tcPr>
            <w:tcW w:type="dxa" w:w="282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Loan &amp; settlement data</w:t>
            </w:r>
          </w:p>
        </w:tc>
        <w:tc>
          <w:tcPr>
            <w:tcW w:type="dxa" w:w="3118"/>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Financial-privacy breach</w:t>
            </w:r>
          </w:p>
        </w:tc>
        <w:tc>
          <w:tcPr>
            <w:tcW w:type="dxa" w:w="3564"/>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Field masking; RBAC; audit; retention limits</w:t>
            </w:r>
          </w:p>
        </w:tc>
      </w:tr>
      <w:tr>
        <w:trPr>
          <w:trHeight w:val="0"/>
        </w:trPr>
        <w:tc>
          <w:tcPr>
            <w:tcW w:type="dxa" w:w="2821"/>
            <w:tcMar>
              <w:top w:w="60" w:type="dxa"/>
              <w:bottom w:w="60" w:type="dxa"/>
              <w:start w:w="110" w:type="dxa"/>
              <w:end w:w="110" w:type="dxa"/>
            </w:tcMar>
          </w:tcPr>
          <w:p>
            <w:pPr>
              <w:spacing w:after="0"/>
              <w:jc w:val="left"/>
            </w:pPr>
            <w:r>
              <w:rPr>
                <w:rFonts w:ascii="Calibri" w:hAnsi="Calibri"/>
                <w:b w:val="0"/>
                <w:i w:val="0"/>
                <w:color w:val="1B2A32"/>
                <w:sz w:val="17"/>
              </w:rPr>
              <w:t>Escrow &amp; payments</w:t>
            </w:r>
          </w:p>
        </w:tc>
        <w:tc>
          <w:tcPr>
            <w:tcW w:type="dxa" w:w="3118"/>
            <w:tcMar>
              <w:top w:w="60" w:type="dxa"/>
              <w:bottom w:w="60" w:type="dxa"/>
              <w:start w:w="110" w:type="dxa"/>
              <w:end w:w="110" w:type="dxa"/>
            </w:tcMar>
          </w:tcPr>
          <w:p>
            <w:pPr>
              <w:spacing w:after="0"/>
              <w:jc w:val="left"/>
            </w:pPr>
            <w:r>
              <w:rPr>
                <w:rFonts w:ascii="Calibri" w:hAnsi="Calibri"/>
                <w:b w:val="0"/>
                <w:i w:val="0"/>
                <w:color w:val="1B2A32"/>
                <w:sz w:val="17"/>
              </w:rPr>
              <w:t>Fraud; misdirection</w:t>
            </w:r>
          </w:p>
        </w:tc>
        <w:tc>
          <w:tcPr>
            <w:tcW w:type="dxa" w:w="3564"/>
            <w:tcMar>
              <w:top w:w="60" w:type="dxa"/>
              <w:bottom w:w="60" w:type="dxa"/>
              <w:start w:w="110" w:type="dxa"/>
              <w:end w:w="110" w:type="dxa"/>
            </w:tcMar>
          </w:tcPr>
          <w:p>
            <w:pPr>
              <w:spacing w:after="0"/>
              <w:jc w:val="left"/>
            </w:pPr>
            <w:r>
              <w:rPr>
                <w:rFonts w:ascii="Calibri" w:hAnsi="Calibri"/>
                <w:b w:val="0"/>
                <w:i w:val="0"/>
                <w:color w:val="1B2A32"/>
                <w:sz w:val="17"/>
              </w:rPr>
              <w:t>Regulated agent; reconciliation; dual control</w:t>
            </w:r>
          </w:p>
        </w:tc>
      </w:tr>
      <w:tr>
        <w:trPr>
          <w:trHeight w:val="0"/>
        </w:trPr>
        <w:tc>
          <w:tcPr>
            <w:tcW w:type="dxa" w:w="282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Recovery/harassment evidence</w:t>
            </w:r>
          </w:p>
        </w:tc>
        <w:tc>
          <w:tcPr>
            <w:tcW w:type="dxa" w:w="3118"/>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Sensitive personal data</w:t>
            </w:r>
          </w:p>
        </w:tc>
        <w:tc>
          <w:tcPr>
            <w:tcW w:type="dxa" w:w="3564"/>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Restricted access; purpose limitation</w:t>
            </w:r>
          </w:p>
        </w:tc>
      </w:tr>
      <w:tr>
        <w:trPr>
          <w:trHeight w:val="0"/>
        </w:trPr>
        <w:tc>
          <w:tcPr>
            <w:tcW w:type="dxa" w:w="2821"/>
            <w:tcMar>
              <w:top w:w="60" w:type="dxa"/>
              <w:bottom w:w="60" w:type="dxa"/>
              <w:start w:w="110" w:type="dxa"/>
              <w:end w:w="110" w:type="dxa"/>
            </w:tcMar>
          </w:tcPr>
          <w:p>
            <w:pPr>
              <w:spacing w:after="0"/>
              <w:jc w:val="left"/>
            </w:pPr>
            <w:r>
              <w:rPr>
                <w:rFonts w:ascii="Calibri" w:hAnsi="Calibri"/>
                <w:b w:val="0"/>
                <w:i w:val="0"/>
                <w:color w:val="1B2A32"/>
                <w:sz w:val="17"/>
              </w:rPr>
              <w:t>AI interactions</w:t>
            </w:r>
          </w:p>
        </w:tc>
        <w:tc>
          <w:tcPr>
            <w:tcW w:type="dxa" w:w="3118"/>
            <w:tcMar>
              <w:top w:w="60" w:type="dxa"/>
              <w:bottom w:w="60" w:type="dxa"/>
              <w:start w:w="110" w:type="dxa"/>
              <w:end w:w="110" w:type="dxa"/>
            </w:tcMar>
          </w:tcPr>
          <w:p>
            <w:pPr>
              <w:spacing w:after="0"/>
              <w:jc w:val="left"/>
            </w:pPr>
            <w:r>
              <w:rPr>
                <w:rFonts w:ascii="Calibri" w:hAnsi="Calibri"/>
                <w:b w:val="0"/>
                <w:i w:val="0"/>
                <w:color w:val="1B2A32"/>
                <w:sz w:val="17"/>
              </w:rPr>
              <w:t>Leakage; profiling</w:t>
            </w:r>
          </w:p>
        </w:tc>
        <w:tc>
          <w:tcPr>
            <w:tcW w:type="dxa" w:w="3564"/>
            <w:tcMar>
              <w:top w:w="60" w:type="dxa"/>
              <w:bottom w:w="60" w:type="dxa"/>
              <w:start w:w="110" w:type="dxa"/>
              <w:end w:w="110" w:type="dxa"/>
            </w:tcMar>
          </w:tcPr>
          <w:p>
            <w:pPr>
              <w:spacing w:after="0"/>
              <w:jc w:val="left"/>
            </w:pPr>
            <w:r>
              <w:rPr>
                <w:rFonts w:ascii="Calibri" w:hAnsi="Calibri"/>
                <w:b w:val="0"/>
                <w:i w:val="0"/>
                <w:color w:val="1B2A32"/>
                <w:sz w:val="17"/>
              </w:rPr>
              <w:t>No prototype storage; guardrails; minimisation</w:t>
            </w:r>
          </w:p>
        </w:tc>
      </w:tr>
      <w:tr>
        <w:trPr>
          <w:trHeight w:val="0"/>
        </w:trPr>
        <w:tc>
          <w:tcPr>
            <w:tcW w:type="dxa" w:w="282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Credit-bureau exchange</w:t>
            </w:r>
          </w:p>
        </w:tc>
        <w:tc>
          <w:tcPr>
            <w:tcW w:type="dxa" w:w="3118"/>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Wrong reporting</w:t>
            </w:r>
          </w:p>
        </w:tc>
        <w:tc>
          <w:tcPr>
            <w:tcW w:type="dxa" w:w="3564"/>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Accuracy checks; correction workflow</w:t>
            </w:r>
          </w:p>
        </w:tc>
      </w:tr>
    </w:tbl>
    <w:p>
      <w:pPr>
        <w:spacing w:after="80"/>
      </w:pP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Confirm consent artefacts, retention schedule, processor DPAs, breach timings and data-localisation against the DPDP Rules before go-live; review the DPIA on any material change.</w:t>
            </w:r>
          </w:p>
        </w:tc>
      </w:tr>
    </w:tbl>
    <w:p>
      <w:pPr>
        <w:spacing w:after="120"/>
      </w:pPr>
    </w:p>
    <w:p>
      <w:pPr>
        <w:keepNext/>
        <w:spacing w:before="320" w:after="140"/>
        <w:pBdr>
          <w:bottom w:val="single" w:sz="12" w:space="3" w:color="C6A15B"/>
        </w:pBdr>
      </w:pPr>
      <w:r>
        <w:rPr>
          <w:rFonts w:ascii="Calibri" w:hAnsi="Calibri"/>
          <w:b/>
          <w:i w:val="0"/>
          <w:color w:val="123B4F"/>
          <w:sz w:val="34"/>
        </w:rPr>
        <w:t>47.  Document Control &amp; Legal Sign-Off</w:t>
      </w:r>
    </w:p>
    <w:p>
      <w:pPr>
        <w:spacing w:after="140"/>
        <w:jc w:val="both"/>
      </w:pPr>
      <w:r>
        <w:rPr>
          <w:rFonts w:ascii="Calibri" w:hAnsi="Calibri"/>
          <w:b w:val="0"/>
          <w:i w:val="0"/>
          <w:color w:val="1B2A32"/>
          <w:sz w:val="21"/>
        </w:rPr>
        <w:t xml:space="preserve">This Blueprint and the wider financial package are a </w:t>
      </w:r>
      <w:r>
        <w:rPr>
          <w:rFonts w:ascii="Calibri" w:hAnsi="Calibri"/>
          <w:b/>
          <w:i w:val="0"/>
          <w:color w:val="1B2A32"/>
          <w:sz w:val="21"/>
        </w:rPr>
        <w:t>draft for legal sign-off</w:t>
      </w:r>
      <w:r>
        <w:rPr>
          <w:rFonts w:ascii="Calibri" w:hAnsi="Calibri"/>
          <w:b w:val="0"/>
          <w:i w:val="0"/>
          <w:color w:val="1B2A32"/>
          <w:sz w:val="21"/>
        </w:rPr>
        <w:t>. Nothing here is legal advice, and nothing should be used with a real party or published until the items below are cleared.</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3861"/>
            <w:shd w:val="clear" w:color="auto" w:fill="123B4F"/>
            <w:tcMar>
              <w:top w:w="60" w:type="dxa"/>
              <w:bottom w:w="60" w:type="dxa"/>
              <w:start w:w="110" w:type="dxa"/>
              <w:end w:w="110" w:type="dxa"/>
            </w:tcMar>
          </w:tcPr>
          <w:p>
            <w:pPr>
              <w:spacing w:after="0"/>
            </w:pPr>
            <w:r>
              <w:rPr>
                <w:rFonts w:ascii="Calibri" w:hAnsi="Calibri"/>
                <w:b/>
                <w:i w:val="0"/>
                <w:color w:val="FFFFFF"/>
                <w:sz w:val="17"/>
              </w:rPr>
              <w:t>Control</w:t>
            </w:r>
          </w:p>
        </w:tc>
        <w:tc>
          <w:tcPr>
            <w:tcW w:type="dxa" w:w="2970"/>
            <w:shd w:val="clear" w:color="auto" w:fill="123B4F"/>
            <w:tcMar>
              <w:top w:w="60" w:type="dxa"/>
              <w:bottom w:w="60" w:type="dxa"/>
              <w:start w:w="110" w:type="dxa"/>
              <w:end w:w="110" w:type="dxa"/>
            </w:tcMar>
          </w:tcPr>
          <w:p>
            <w:pPr>
              <w:spacing w:after="0"/>
            </w:pPr>
            <w:r>
              <w:rPr>
                <w:rFonts w:ascii="Calibri" w:hAnsi="Calibri"/>
                <w:b/>
                <w:i w:val="0"/>
                <w:color w:val="FFFFFF"/>
                <w:sz w:val="17"/>
              </w:rPr>
              <w:t>Owner</w:t>
            </w:r>
          </w:p>
        </w:tc>
        <w:tc>
          <w:tcPr>
            <w:tcW w:type="dxa" w:w="2673"/>
            <w:shd w:val="clear" w:color="auto" w:fill="123B4F"/>
            <w:tcMar>
              <w:top w:w="60" w:type="dxa"/>
              <w:bottom w:w="60" w:type="dxa"/>
              <w:start w:w="110" w:type="dxa"/>
              <w:end w:w="110" w:type="dxa"/>
            </w:tcMar>
          </w:tcPr>
          <w:p>
            <w:pPr>
              <w:spacing w:after="0"/>
            </w:pPr>
            <w:r>
              <w:rPr>
                <w:rFonts w:ascii="Calibri" w:hAnsi="Calibri"/>
                <w:b/>
                <w:i w:val="0"/>
                <w:color w:val="FFFFFF"/>
                <w:sz w:val="17"/>
              </w:rPr>
              <w:t>Status</w:t>
            </w:r>
          </w:p>
        </w:tc>
      </w:tr>
      <w:tr>
        <w:trPr>
          <w:trHeight w:val="0"/>
        </w:trPr>
        <w:tc>
          <w:tcPr>
            <w:tcW w:type="dxa" w:w="3861"/>
            <w:tcMar>
              <w:top w:w="60" w:type="dxa"/>
              <w:bottom w:w="60" w:type="dxa"/>
              <w:start w:w="110" w:type="dxa"/>
              <w:end w:w="110" w:type="dxa"/>
            </w:tcMar>
          </w:tcPr>
          <w:p>
            <w:pPr>
              <w:spacing w:after="0"/>
              <w:jc w:val="left"/>
            </w:pPr>
            <w:r>
              <w:rPr>
                <w:rFonts w:ascii="Calibri" w:hAnsi="Calibri"/>
                <w:b w:val="0"/>
                <w:i w:val="0"/>
                <w:color w:val="1B2A32"/>
                <w:sz w:val="17"/>
              </w:rPr>
              <w:t>Legal review of rules, forms &amp; clauses</w:t>
            </w:r>
          </w:p>
        </w:tc>
        <w:tc>
          <w:tcPr>
            <w:tcW w:type="dxa" w:w="2970"/>
            <w:tcMar>
              <w:top w:w="60" w:type="dxa"/>
              <w:bottom w:w="60" w:type="dxa"/>
              <w:start w:w="110" w:type="dxa"/>
              <w:end w:w="110" w:type="dxa"/>
            </w:tcMar>
          </w:tcPr>
          <w:p>
            <w:pPr>
              <w:spacing w:after="0"/>
              <w:jc w:val="left"/>
            </w:pPr>
            <w:r>
              <w:rPr>
                <w:rFonts w:ascii="Calibri" w:hAnsi="Calibri"/>
                <w:b w:val="0"/>
                <w:i w:val="0"/>
                <w:color w:val="1B2A32"/>
                <w:sz w:val="17"/>
              </w:rPr>
              <w:t>External counsel</w:t>
            </w:r>
          </w:p>
        </w:tc>
        <w:tc>
          <w:tcPr>
            <w:tcW w:type="dxa" w:w="2673"/>
            <w:tcMar>
              <w:top w:w="60" w:type="dxa"/>
              <w:bottom w:w="60" w:type="dxa"/>
              <w:start w:w="110" w:type="dxa"/>
              <w:end w:w="110" w:type="dxa"/>
            </w:tcMar>
          </w:tcPr>
          <w:p>
            <w:pPr>
              <w:spacing w:after="0"/>
              <w:jc w:val="left"/>
            </w:pPr>
          </w:p>
        </w:tc>
      </w:tr>
      <w:tr>
        <w:trPr>
          <w:trHeight w:val="0"/>
        </w:trPr>
        <w:tc>
          <w:tcPr>
            <w:tcW w:type="dxa" w:w="38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RBI-alignment review (Ombudsman/DL/OTS/FPC)</w:t>
            </w:r>
          </w:p>
        </w:tc>
        <w:tc>
          <w:tcPr>
            <w:tcW w:type="dxa" w:w="297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Regulatory counsel</w:t>
            </w:r>
          </w:p>
        </w:tc>
        <w:tc>
          <w:tcPr>
            <w:tcW w:type="dxa" w:w="2673"/>
            <w:tcMar>
              <w:top w:w="60" w:type="dxa"/>
              <w:bottom w:w="60" w:type="dxa"/>
              <w:start w:w="110" w:type="dxa"/>
              <w:end w:w="110" w:type="dxa"/>
            </w:tcMar>
            <w:shd w:val="clear" w:color="auto" w:fill="F2F6F8"/>
          </w:tcPr>
          <w:p>
            <w:pPr>
              <w:spacing w:after="0"/>
              <w:jc w:val="left"/>
            </w:pPr>
          </w:p>
        </w:tc>
      </w:tr>
      <w:tr>
        <w:trPr>
          <w:trHeight w:val="0"/>
        </w:trPr>
        <w:tc>
          <w:tcPr>
            <w:tcW w:type="dxa" w:w="3861"/>
            <w:tcMar>
              <w:top w:w="60" w:type="dxa"/>
              <w:bottom w:w="60" w:type="dxa"/>
              <w:start w:w="110" w:type="dxa"/>
              <w:end w:w="110" w:type="dxa"/>
            </w:tcMar>
          </w:tcPr>
          <w:p>
            <w:pPr>
              <w:spacing w:after="0"/>
              <w:jc w:val="left"/>
            </w:pPr>
            <w:r>
              <w:rPr>
                <w:rFonts w:ascii="Calibri" w:hAnsi="Calibri"/>
                <w:b w:val="0"/>
                <w:i w:val="0"/>
                <w:color w:val="1B2A32"/>
                <w:sz w:val="17"/>
              </w:rPr>
              <w:t>DPDP &amp; DPIA sign-off</w:t>
            </w:r>
          </w:p>
        </w:tc>
        <w:tc>
          <w:tcPr>
            <w:tcW w:type="dxa" w:w="2970"/>
            <w:tcMar>
              <w:top w:w="60" w:type="dxa"/>
              <w:bottom w:w="60" w:type="dxa"/>
              <w:start w:w="110" w:type="dxa"/>
              <w:end w:w="110" w:type="dxa"/>
            </w:tcMar>
          </w:tcPr>
          <w:p>
            <w:pPr>
              <w:spacing w:after="0"/>
              <w:jc w:val="left"/>
            </w:pPr>
            <w:r>
              <w:rPr>
                <w:rFonts w:ascii="Calibri" w:hAnsi="Calibri"/>
                <w:b w:val="0"/>
                <w:i w:val="0"/>
                <w:color w:val="1B2A32"/>
                <w:sz w:val="17"/>
              </w:rPr>
              <w:t>DPO</w:t>
            </w:r>
          </w:p>
        </w:tc>
        <w:tc>
          <w:tcPr>
            <w:tcW w:type="dxa" w:w="2673"/>
            <w:tcMar>
              <w:top w:w="60" w:type="dxa"/>
              <w:bottom w:w="60" w:type="dxa"/>
              <w:start w:w="110" w:type="dxa"/>
              <w:end w:w="110" w:type="dxa"/>
            </w:tcMar>
          </w:tcPr>
          <w:p>
            <w:pPr>
              <w:spacing w:after="0"/>
              <w:jc w:val="left"/>
            </w:pPr>
          </w:p>
        </w:tc>
      </w:tr>
      <w:tr>
        <w:trPr>
          <w:trHeight w:val="0"/>
        </w:trPr>
        <w:tc>
          <w:tcPr>
            <w:tcW w:type="dxa" w:w="38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Escrow &amp; AML arrangement</w:t>
            </w:r>
          </w:p>
        </w:tc>
        <w:tc>
          <w:tcPr>
            <w:tcW w:type="dxa" w:w="297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Finance + bank</w:t>
            </w:r>
          </w:p>
        </w:tc>
        <w:tc>
          <w:tcPr>
            <w:tcW w:type="dxa" w:w="2673"/>
            <w:tcMar>
              <w:top w:w="60" w:type="dxa"/>
              <w:bottom w:w="60" w:type="dxa"/>
              <w:start w:w="110" w:type="dxa"/>
              <w:end w:w="110" w:type="dxa"/>
            </w:tcMar>
            <w:shd w:val="clear" w:color="auto" w:fill="F2F6F8"/>
          </w:tcPr>
          <w:p>
            <w:pPr>
              <w:spacing w:after="0"/>
              <w:jc w:val="left"/>
            </w:pPr>
          </w:p>
        </w:tc>
      </w:tr>
      <w:tr>
        <w:trPr>
          <w:trHeight w:val="0"/>
        </w:trPr>
        <w:tc>
          <w:tcPr>
            <w:tcW w:type="dxa" w:w="3861"/>
            <w:tcMar>
              <w:top w:w="60" w:type="dxa"/>
              <w:bottom w:w="60" w:type="dxa"/>
              <w:start w:w="110" w:type="dxa"/>
              <w:end w:w="110" w:type="dxa"/>
            </w:tcMar>
          </w:tcPr>
          <w:p>
            <w:pPr>
              <w:spacing w:after="0"/>
              <w:jc w:val="left"/>
            </w:pPr>
            <w:r>
              <w:rPr>
                <w:rFonts w:ascii="Calibri" w:hAnsi="Calibri"/>
                <w:b w:val="0"/>
                <w:i w:val="0"/>
                <w:color w:val="1B2A32"/>
                <w:sz w:val="17"/>
              </w:rPr>
              <w:t>Verification of all [verify] items &amp; figures</w:t>
            </w:r>
          </w:p>
        </w:tc>
        <w:tc>
          <w:tcPr>
            <w:tcW w:type="dxa" w:w="2970"/>
            <w:tcMar>
              <w:top w:w="60" w:type="dxa"/>
              <w:bottom w:w="60" w:type="dxa"/>
              <w:start w:w="110" w:type="dxa"/>
              <w:end w:w="110" w:type="dxa"/>
            </w:tcMar>
          </w:tcPr>
          <w:p>
            <w:pPr>
              <w:spacing w:after="0"/>
              <w:jc w:val="left"/>
            </w:pPr>
            <w:r>
              <w:rPr>
                <w:rFonts w:ascii="Calibri" w:hAnsi="Calibri"/>
                <w:b w:val="0"/>
                <w:i w:val="0"/>
                <w:color w:val="1B2A32"/>
                <w:sz w:val="17"/>
              </w:rPr>
              <w:t>Project lead</w:t>
            </w:r>
          </w:p>
        </w:tc>
        <w:tc>
          <w:tcPr>
            <w:tcW w:type="dxa" w:w="2673"/>
            <w:tcMar>
              <w:top w:w="60" w:type="dxa"/>
              <w:bottom w:w="60" w:type="dxa"/>
              <w:start w:w="110" w:type="dxa"/>
              <w:end w:w="110" w:type="dxa"/>
            </w:tcMar>
          </w:tcPr>
          <w:p>
            <w:pPr>
              <w:spacing w:after="0"/>
              <w:jc w:val="left"/>
            </w:pPr>
          </w:p>
        </w:tc>
      </w:tr>
      <w:tr>
        <w:trPr>
          <w:trHeight w:val="0"/>
        </w:trPr>
        <w:tc>
          <w:tcPr>
            <w:tcW w:type="dxa" w:w="38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Board approval of Rules, Tariff &amp; policies</w:t>
            </w:r>
          </w:p>
        </w:tc>
        <w:tc>
          <w:tcPr>
            <w:tcW w:type="dxa" w:w="297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Board</w:t>
            </w:r>
          </w:p>
        </w:tc>
        <w:tc>
          <w:tcPr>
            <w:tcW w:type="dxa" w:w="2673"/>
            <w:tcMar>
              <w:top w:w="60" w:type="dxa"/>
              <w:bottom w:w="60" w:type="dxa"/>
              <w:start w:w="110" w:type="dxa"/>
              <w:end w:w="110" w:type="dxa"/>
            </w:tcMar>
            <w:shd w:val="clear" w:color="auto" w:fill="F2F6F8"/>
          </w:tcPr>
          <w:p>
            <w:pPr>
              <w:spacing w:after="0"/>
              <w:jc w:val="left"/>
            </w:pPr>
          </w:p>
        </w:tc>
      </w:tr>
      <w:tr>
        <w:trPr>
          <w:trHeight w:val="0"/>
        </w:trPr>
        <w:tc>
          <w:tcPr>
            <w:tcW w:type="dxa" w:w="3861"/>
            <w:tcMar>
              <w:top w:w="60" w:type="dxa"/>
              <w:bottom w:w="60" w:type="dxa"/>
              <w:start w:w="110" w:type="dxa"/>
              <w:end w:w="110" w:type="dxa"/>
            </w:tcMar>
          </w:tcPr>
          <w:p>
            <w:pPr>
              <w:spacing w:after="0"/>
              <w:jc w:val="left"/>
            </w:pPr>
            <w:r>
              <w:rPr>
                <w:rFonts w:ascii="Calibri" w:hAnsi="Calibri"/>
                <w:b w:val="0"/>
                <w:i w:val="0"/>
                <w:color w:val="1B2A32"/>
                <w:sz w:val="17"/>
              </w:rPr>
              <w:t>Version &amp; change log</w:t>
            </w:r>
          </w:p>
        </w:tc>
        <w:tc>
          <w:tcPr>
            <w:tcW w:type="dxa" w:w="2970"/>
            <w:tcMar>
              <w:top w:w="60" w:type="dxa"/>
              <w:bottom w:w="60" w:type="dxa"/>
              <w:start w:w="110" w:type="dxa"/>
              <w:end w:w="110" w:type="dxa"/>
            </w:tcMar>
          </w:tcPr>
          <w:p>
            <w:pPr>
              <w:spacing w:after="0"/>
              <w:jc w:val="left"/>
            </w:pPr>
            <w:r>
              <w:rPr>
                <w:rFonts w:ascii="Calibri" w:hAnsi="Calibri"/>
                <w:b w:val="0"/>
                <w:i w:val="0"/>
                <w:color w:val="1B2A32"/>
                <w:sz w:val="17"/>
              </w:rPr>
              <w:t>Product</w:t>
            </w:r>
          </w:p>
        </w:tc>
        <w:tc>
          <w:tcPr>
            <w:tcW w:type="dxa" w:w="2673"/>
            <w:tcMar>
              <w:top w:w="60" w:type="dxa"/>
              <w:bottom w:w="60" w:type="dxa"/>
              <w:start w:w="110" w:type="dxa"/>
              <w:end w:w="110" w:type="dxa"/>
            </w:tcMar>
          </w:tcPr>
          <w:p>
            <w:pPr>
              <w:spacing w:after="0"/>
              <w:jc w:val="left"/>
            </w:pPr>
          </w:p>
        </w:tc>
      </w:tr>
    </w:tbl>
    <w:p>
      <w:pPr>
        <w:spacing w:after="80"/>
      </w:pP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Sign-off gate</w:t>
            </w:r>
          </w:p>
          <w:p>
            <w:pPr>
              <w:jc w:val="both"/>
            </w:pPr>
            <w:r>
              <w:rPr>
                <w:rFonts w:ascii="Calibri" w:hAnsi="Calibri"/>
                <w:b w:val="0"/>
                <w:i w:val="0"/>
                <w:color w:val="1B2A32"/>
                <w:sz w:val="20"/>
              </w:rPr>
              <w:t>No component of the financial package goes live until every control above is cleared and dated. The version current at go-live governs.</w:t>
            </w:r>
          </w:p>
        </w:tc>
      </w:tr>
    </w:tbl>
    <w:p>
      <w:pPr>
        <w:spacing w:after="120"/>
      </w:pPr>
    </w:p>
    <w:p>
      <w:r>
        <w:br w:type="page"/>
      </w:r>
    </w:p>
    <w:p>
      <w:pPr>
        <w:spacing w:before="600" w:after="40"/>
      </w:pPr>
      <w:r>
        <w:rPr>
          <w:rFonts w:ascii="Calibri" w:hAnsi="Calibri"/>
          <w:b/>
          <w:i w:val="0"/>
          <w:color w:val="C6A15B"/>
          <w:sz w:val="26"/>
        </w:rPr>
        <w:t>PART I</w:t>
      </w:r>
    </w:p>
    <w:p>
      <w:pPr>
        <w:spacing w:after="200"/>
        <w:pBdr>
          <w:bottom w:val="single" w:sz="18" w:space="3" w:color="1E7A8C"/>
        </w:pBdr>
      </w:pPr>
      <w:r>
        <w:rPr>
          <w:rFonts w:ascii="Calibri" w:hAnsi="Calibri"/>
          <w:b/>
          <w:i w:val="0"/>
          <w:color w:val="123B4F"/>
          <w:sz w:val="46"/>
        </w:rPr>
        <w:t>The Forms (Full Text)</w:t>
      </w:r>
    </w:p>
    <w:p>
      <w:pPr>
        <w:spacing w:after="140"/>
        <w:jc w:val="both"/>
      </w:pPr>
      <w:r>
        <w:rPr>
          <w:rFonts w:ascii="Calibri" w:hAnsi="Calibri"/>
          <w:b w:val="0"/>
          <w:i w:val="0"/>
          <w:color w:val="1B2A32"/>
          <w:sz w:val="21"/>
        </w:rPr>
        <w:t>This Part reproduces every Equator financial &amp; loan form in full (F-L01 to F-L20), ready to lift into the platform or use directly. The same set is delivered as individual documents in the archived Forms Pack folder. Fields shown blank are for completion by the party, neutral or case manager as indicated.</w:t>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Onboarding, KYC / KYB &amp; Data-Protection Consent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F-L01</w:t>
            </w:r>
          </w:p>
        </w:tc>
      </w:tr>
    </w:tbl>
    <w:p>
      <w:pPr>
        <w:spacing w:after="80"/>
      </w:pPr>
      <w:r>
        <w:rPr>
          <w:rFonts w:ascii="Calibri" w:hAnsi="Calibri"/>
          <w:b w:val="0"/>
          <w:i/>
          <w:color w:val="556168"/>
          <w:sz w:val="18"/>
        </w:rPr>
        <w:t>Create your account, verify your identity/business, and record DPDP consent.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PARTY DETAILS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Name (individual / entity)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Type (Individual / Bank / NBFC / Fintech-LSP / Other)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PAN / CIN / GSTIN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Address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Loan account / reference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Mobile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Email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Authorised representative / advocate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ROLE</w:t>
            </w:r>
          </w:p>
        </w:tc>
      </w:tr>
    </w:tbl>
    <w:p>
      <w:pPr>
        <w:spacing w:after="20"/>
      </w:pPr>
    </w:p>
    <w:p>
      <w:pPr>
        <w:spacing w:after="20"/>
      </w:pPr>
      <w:r>
        <w:rPr>
          <w:rFonts w:ascii="Calibri" w:hAnsi="Calibri"/>
          <w:b/>
          <w:i w:val="0"/>
          <w:color w:val="123B4F"/>
          <w:sz w:val="18"/>
        </w:rPr>
        <w:t>I am the: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Borrower / customer</w:t>
            </w:r>
          </w:p>
        </w:tc>
        <w:tc>
          <w:tcPr>
            <w:tcW w:type="dxa" w:w="4752"/>
            <w:tcMar>
              <w:top w:w="16" w:type="dxa"/>
              <w:bottom w:w="16" w:type="dxa"/>
              <w:start w:w="30" w:type="dxa"/>
              <w:end w:w="70" w:type="dxa"/>
            </w:tcMar>
          </w:tcPr>
          <w:p>
            <w:pPr>
              <w:spacing w:after="0"/>
            </w:pPr>
            <w:r>
              <w:rPr>
                <w:rFonts w:ascii="Calibri" w:hAnsi="Calibri"/>
                <w:b w:val="0"/>
                <w:i w:val="0"/>
                <w:color w:val="1B2A32"/>
                <w:sz w:val="18"/>
              </w:rPr>
              <w:t>☐  Lender (Bank/NBFC/Fintech)</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Guarantor / co-borrower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DATA-PROTECTION NOTICE &amp; CONSENT (DPDP Act, 2023)</w:t>
            </w:r>
          </w:p>
        </w:tc>
      </w:tr>
    </w:tbl>
    <w:p>
      <w:pPr>
        <w:spacing w:after="20"/>
      </w:pPr>
    </w:p>
    <w:p>
      <w:pPr>
        <w:spacing w:after="80"/>
        <w:jc w:val="both"/>
      </w:pPr>
      <w:r>
        <w:rPr>
          <w:rFonts w:ascii="Calibri" w:hAnsi="Calibri"/>
          <w:b w:val="0"/>
          <w:i w:val="0"/>
          <w:color w:val="1B2A32"/>
          <w:sz w:val="19"/>
        </w:rPr>
        <w:t>Your data is processed only to administer the dispute (case management, settlement, escrow, closure) and for statutory compliance. Financial data is treated as sensitive and kept confidential.</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I give free, specific, informed and withdrawable consent to processing my data for these purposes.</w:t>
      </w:r>
    </w:p>
    <w:p>
      <w:pPr>
        <w:spacing w:after="40"/>
        <w:jc w:val="both"/>
      </w:pPr>
      <w:r>
        <w:rPr>
          <w:rFonts w:ascii="Calibri" w:hAnsi="Calibri"/>
          <w:b w:val="0"/>
          <w:i w:val="0"/>
          <w:color w:val="1B2A32"/>
          <w:sz w:val="18"/>
        </w:rPr>
        <w:t xml:space="preserve">☐  </w:t>
      </w:r>
      <w:r>
        <w:rPr>
          <w:rFonts w:ascii="Calibri" w:hAnsi="Calibri"/>
          <w:b w:val="0"/>
          <w:i w:val="0"/>
          <w:color w:val="1B2A32"/>
          <w:sz w:val="18"/>
        </w:rPr>
        <w:t>The information provided is true and correct.</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Verified by (Equator)</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Grievance / Data Officer: grievance@equatorresolution.com. Equator acts as a Data Fiduciary under the DPDP Act, 2023.</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Request for Resolution (Loan Dispute)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F-L02</w:t>
            </w:r>
          </w:p>
        </w:tc>
      </w:tr>
    </w:tbl>
    <w:p>
      <w:pPr>
        <w:spacing w:after="80"/>
      </w:pPr>
      <w:r>
        <w:rPr>
          <w:rFonts w:ascii="Calibri" w:hAnsi="Calibri"/>
          <w:b w:val="0"/>
          <w:i/>
          <w:color w:val="556168"/>
          <w:sz w:val="18"/>
        </w:rPr>
        <w:t>Commences a loan dispute. Either the borrower or the lender may file.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THE DISPUTE</w:t>
            </w:r>
          </w:p>
        </w:tc>
      </w:tr>
    </w:tbl>
    <w:p>
      <w:pPr>
        <w:spacing w:after="20"/>
      </w:pPr>
    </w:p>
    <w:p>
      <w:pPr>
        <w:spacing w:after="20"/>
      </w:pPr>
      <w:r>
        <w:rPr>
          <w:rFonts w:ascii="Calibri" w:hAnsi="Calibri"/>
          <w:b/>
          <w:i w:val="0"/>
          <w:color w:val="123B4F"/>
          <w:sz w:val="18"/>
        </w:rPr>
        <w:t>Dispute type(s):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Loan default &amp; recovery</w:t>
            </w:r>
          </w:p>
        </w:tc>
        <w:tc>
          <w:tcPr>
            <w:tcW w:type="dxa" w:w="4752"/>
            <w:tcMar>
              <w:top w:w="16" w:type="dxa"/>
              <w:bottom w:w="16" w:type="dxa"/>
              <w:start w:w="30" w:type="dxa"/>
              <w:end w:w="70" w:type="dxa"/>
            </w:tcMar>
          </w:tcPr>
          <w:p>
            <w:pPr>
              <w:spacing w:after="0"/>
            </w:pPr>
            <w:r>
              <w:rPr>
                <w:rFonts w:ascii="Calibri" w:hAnsi="Calibri"/>
                <w:b w:val="0"/>
                <w:i w:val="0"/>
                <w:color w:val="1B2A32"/>
                <w:sz w:val="18"/>
              </w:rPr>
              <w:t>☐  One-time settlement (OTS)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Cheque bounce (NI-138)</w:t>
            </w:r>
          </w:p>
        </w:tc>
        <w:tc>
          <w:tcPr>
            <w:tcW w:type="dxa" w:w="4752"/>
            <w:tcMar>
              <w:top w:w="16" w:type="dxa"/>
              <w:bottom w:w="16" w:type="dxa"/>
              <w:start w:w="30" w:type="dxa"/>
              <w:end w:w="70" w:type="dxa"/>
            </w:tcMar>
          </w:tcPr>
          <w:p>
            <w:pPr>
              <w:spacing w:after="0"/>
            </w:pPr>
            <w:r>
              <w:rPr>
                <w:rFonts w:ascii="Calibri" w:hAnsi="Calibri"/>
                <w:b w:val="0"/>
                <w:i w:val="0"/>
                <w:color w:val="1B2A32"/>
                <w:sz w:val="18"/>
              </w:rPr>
              <w:t>☐  Wrong / excess charges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Digital-lending grievance</w:t>
            </w:r>
          </w:p>
        </w:tc>
        <w:tc>
          <w:tcPr>
            <w:tcW w:type="dxa" w:w="4752"/>
            <w:tcMar>
              <w:top w:w="16" w:type="dxa"/>
              <w:bottom w:w="16" w:type="dxa"/>
              <w:start w:w="30" w:type="dxa"/>
              <w:end w:w="70" w:type="dxa"/>
            </w:tcMar>
          </w:tcPr>
          <w:p>
            <w:pPr>
              <w:spacing w:after="0"/>
            </w:pPr>
            <w:r>
              <w:rPr>
                <w:rFonts w:ascii="Calibri" w:hAnsi="Calibri"/>
                <w:b w:val="0"/>
                <w:i w:val="0"/>
                <w:color w:val="1B2A32"/>
                <w:sz w:val="18"/>
              </w:rPr>
              <w:t>☐  Recovery-agent harassment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Mis-selling / unfair practice</w:t>
            </w:r>
          </w:p>
        </w:tc>
        <w:tc>
          <w:tcPr>
            <w:tcW w:type="dxa" w:w="4752"/>
            <w:tcMar>
              <w:top w:w="16" w:type="dxa"/>
              <w:bottom w:w="16" w:type="dxa"/>
              <w:start w:w="30" w:type="dxa"/>
              <w:end w:w="70" w:type="dxa"/>
            </w:tcMar>
          </w:tcPr>
          <w:p>
            <w:pPr>
              <w:spacing w:after="0"/>
            </w:pPr>
            <w:r>
              <w:rPr>
                <w:rFonts w:ascii="Calibri" w:hAnsi="Calibri"/>
                <w:b w:val="0"/>
                <w:i w:val="0"/>
                <w:color w:val="1B2A32"/>
                <w:sz w:val="18"/>
              </w:rPr>
              <w:t>☐  Credit-bureau dispute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Guarantee / co-borrower</w:t>
            </w:r>
          </w:p>
        </w:tc>
        <w:tc>
          <w:tcPr>
            <w:tcW w:type="dxa" w:w="4752"/>
            <w:tcMar>
              <w:top w:w="16" w:type="dxa"/>
              <w:bottom w:w="16" w:type="dxa"/>
              <w:start w:w="30" w:type="dxa"/>
              <w:end w:w="70" w:type="dxa"/>
            </w:tcMar>
          </w:tcPr>
          <w:p>
            <w:pPr>
              <w:spacing w:after="0"/>
            </w:pPr>
            <w:r>
              <w:rPr>
                <w:rFonts w:ascii="Calibri" w:hAnsi="Calibri"/>
                <w:b w:val="0"/>
                <w:i w:val="0"/>
                <w:color w:val="1B2A32"/>
                <w:sz w:val="18"/>
              </w:rPr>
              <w:t>☐  Co-lending / fintech partnership</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Secured-debt recovery (bank/FI)</w:t>
            </w:r>
          </w:p>
        </w:tc>
        <w:tc>
          <w:tcPr>
            <w:tcW w:type="dxa" w:w="4752"/>
            <w:tcMar>
              <w:top w:w="16" w:type="dxa"/>
              <w:bottom w:w="16" w:type="dxa"/>
              <w:start w:w="30" w:type="dxa"/>
              <w:end w:w="70" w:type="dxa"/>
            </w:tcMar>
          </w:tcPr>
          <w:p>
            <w:pPr>
              <w:spacing w:after="0"/>
            </w:pPr>
          </w:p>
        </w:tc>
      </w:tr>
    </w:tbl>
    <w:p>
      <w:pPr>
        <w:spacing w:after="40"/>
      </w:pPr>
    </w:p>
    <w:p>
      <w:pPr>
        <w:spacing w:after="20"/>
      </w:pPr>
      <w:r>
        <w:rPr>
          <w:rFonts w:ascii="Calibri" w:hAnsi="Calibri"/>
          <w:b/>
          <w:i w:val="0"/>
          <w:color w:val="123B4F"/>
          <w:sz w:val="18"/>
        </w:rPr>
        <w:t>Loan type: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6" w:type="dxa"/>
              <w:bottom w:w="16" w:type="dxa"/>
              <w:start w:w="30" w:type="dxa"/>
              <w:end w:w="70" w:type="dxa"/>
            </w:tcMar>
          </w:tcPr>
          <w:p>
            <w:pPr>
              <w:spacing w:after="0"/>
            </w:pPr>
            <w:r>
              <w:rPr>
                <w:rFonts w:ascii="Calibri" w:hAnsi="Calibri"/>
                <w:b w:val="0"/>
                <w:i w:val="0"/>
                <w:color w:val="1B2A32"/>
                <w:sz w:val="18"/>
              </w:rPr>
              <w:t>☐  Personal</w:t>
            </w:r>
          </w:p>
        </w:tc>
        <w:tc>
          <w:tcPr>
            <w:tcW w:type="dxa" w:w="3168"/>
            <w:tcMar>
              <w:top w:w="16" w:type="dxa"/>
              <w:bottom w:w="16" w:type="dxa"/>
              <w:start w:w="30" w:type="dxa"/>
              <w:end w:w="70" w:type="dxa"/>
            </w:tcMar>
          </w:tcPr>
          <w:p>
            <w:pPr>
              <w:spacing w:after="0"/>
            </w:pPr>
            <w:r>
              <w:rPr>
                <w:rFonts w:ascii="Calibri" w:hAnsi="Calibri"/>
                <w:b w:val="0"/>
                <w:i w:val="0"/>
                <w:color w:val="1B2A32"/>
                <w:sz w:val="18"/>
              </w:rPr>
              <w:t>☐  Vehicle</w:t>
            </w:r>
          </w:p>
        </w:tc>
        <w:tc>
          <w:tcPr>
            <w:tcW w:type="dxa" w:w="3168"/>
            <w:tcMar>
              <w:top w:w="16" w:type="dxa"/>
              <w:bottom w:w="16" w:type="dxa"/>
              <w:start w:w="30" w:type="dxa"/>
              <w:end w:w="70" w:type="dxa"/>
            </w:tcMar>
          </w:tcPr>
          <w:p>
            <w:pPr>
              <w:spacing w:after="0"/>
            </w:pPr>
            <w:r>
              <w:rPr>
                <w:rFonts w:ascii="Calibri" w:hAnsi="Calibri"/>
                <w:b w:val="0"/>
                <w:i w:val="0"/>
                <w:color w:val="1B2A32"/>
                <w:sz w:val="18"/>
              </w:rPr>
              <w:t>☐  Home</w:t>
            </w:r>
          </w:p>
        </w:tc>
      </w:tr>
      <w:tr>
        <w:tc>
          <w:tcPr>
            <w:tcW w:type="dxa" w:w="3168"/>
            <w:tcMar>
              <w:top w:w="16" w:type="dxa"/>
              <w:bottom w:w="16" w:type="dxa"/>
              <w:start w:w="30" w:type="dxa"/>
              <w:end w:w="70" w:type="dxa"/>
            </w:tcMar>
          </w:tcPr>
          <w:p>
            <w:pPr>
              <w:spacing w:after="0"/>
            </w:pPr>
            <w:r>
              <w:rPr>
                <w:rFonts w:ascii="Calibri" w:hAnsi="Calibri"/>
                <w:b w:val="0"/>
                <w:i w:val="0"/>
                <w:color w:val="1B2A32"/>
                <w:sz w:val="18"/>
              </w:rPr>
              <w:t>☐  Gold</w:t>
            </w:r>
          </w:p>
        </w:tc>
        <w:tc>
          <w:tcPr>
            <w:tcW w:type="dxa" w:w="3168"/>
            <w:tcMar>
              <w:top w:w="16" w:type="dxa"/>
              <w:bottom w:w="16" w:type="dxa"/>
              <w:start w:w="30" w:type="dxa"/>
              <w:end w:w="70" w:type="dxa"/>
            </w:tcMar>
          </w:tcPr>
          <w:p>
            <w:pPr>
              <w:spacing w:after="0"/>
            </w:pPr>
            <w:r>
              <w:rPr>
                <w:rFonts w:ascii="Calibri" w:hAnsi="Calibri"/>
                <w:b w:val="0"/>
                <w:i w:val="0"/>
                <w:color w:val="1B2A32"/>
                <w:sz w:val="18"/>
              </w:rPr>
              <w:t>☐  Education</w:t>
            </w:r>
          </w:p>
        </w:tc>
        <w:tc>
          <w:tcPr>
            <w:tcW w:type="dxa" w:w="3168"/>
            <w:tcMar>
              <w:top w:w="16" w:type="dxa"/>
              <w:bottom w:w="16" w:type="dxa"/>
              <w:start w:w="30" w:type="dxa"/>
              <w:end w:w="70" w:type="dxa"/>
            </w:tcMar>
          </w:tcPr>
          <w:p>
            <w:pPr>
              <w:spacing w:after="0"/>
            </w:pPr>
            <w:r>
              <w:rPr>
                <w:rFonts w:ascii="Calibri" w:hAnsi="Calibri"/>
                <w:b w:val="0"/>
                <w:i w:val="0"/>
                <w:color w:val="1B2A32"/>
                <w:sz w:val="18"/>
              </w:rPr>
              <w:t>☐  Business / MSME</w:t>
            </w:r>
          </w:p>
        </w:tc>
      </w:tr>
      <w:tr>
        <w:tc>
          <w:tcPr>
            <w:tcW w:type="dxa" w:w="3168"/>
            <w:tcMar>
              <w:top w:w="16" w:type="dxa"/>
              <w:bottom w:w="16" w:type="dxa"/>
              <w:start w:w="30" w:type="dxa"/>
              <w:end w:w="70" w:type="dxa"/>
            </w:tcMar>
          </w:tcPr>
          <w:p>
            <w:pPr>
              <w:spacing w:after="0"/>
            </w:pPr>
            <w:r>
              <w:rPr>
                <w:rFonts w:ascii="Calibri" w:hAnsi="Calibri"/>
                <w:b w:val="0"/>
                <w:i w:val="0"/>
                <w:color w:val="1B2A32"/>
                <w:sz w:val="18"/>
              </w:rPr>
              <w:t>☐  Credit card</w:t>
            </w:r>
          </w:p>
        </w:tc>
        <w:tc>
          <w:tcPr>
            <w:tcW w:type="dxa" w:w="3168"/>
            <w:tcMar>
              <w:top w:w="16" w:type="dxa"/>
              <w:bottom w:w="16" w:type="dxa"/>
              <w:start w:w="30" w:type="dxa"/>
              <w:end w:w="70" w:type="dxa"/>
            </w:tcMar>
          </w:tcPr>
          <w:p>
            <w:pPr>
              <w:spacing w:after="0"/>
            </w:pPr>
            <w:r>
              <w:rPr>
                <w:rFonts w:ascii="Calibri" w:hAnsi="Calibri"/>
                <w:b w:val="0"/>
                <w:i w:val="0"/>
                <w:color w:val="1B2A32"/>
                <w:sz w:val="18"/>
              </w:rPr>
              <w:t>☐  BNPL</w:t>
            </w:r>
          </w:p>
        </w:tc>
        <w:tc>
          <w:tcPr>
            <w:tcW w:type="dxa" w:w="3168"/>
            <w:tcMar>
              <w:top w:w="16" w:type="dxa"/>
              <w:bottom w:w="16" w:type="dxa"/>
              <w:start w:w="30" w:type="dxa"/>
              <w:end w:w="70" w:type="dxa"/>
            </w:tcMar>
          </w:tcPr>
          <w:p>
            <w:pPr>
              <w:spacing w:after="0"/>
            </w:pPr>
            <w:r>
              <w:rPr>
                <w:rFonts w:ascii="Calibri" w:hAnsi="Calibri"/>
                <w:b w:val="0"/>
                <w:i w:val="0"/>
                <w:color w:val="1B2A32"/>
                <w:sz w:val="18"/>
              </w:rPr>
              <w:t>☐  Microfinance</w:t>
            </w:r>
          </w:p>
        </w:tc>
      </w:tr>
      <w:tr>
        <w:tc>
          <w:tcPr>
            <w:tcW w:type="dxa" w:w="3168"/>
            <w:tcMar>
              <w:top w:w="16" w:type="dxa"/>
              <w:bottom w:w="16" w:type="dxa"/>
              <w:start w:w="30" w:type="dxa"/>
              <w:end w:w="70" w:type="dxa"/>
            </w:tcMar>
          </w:tcPr>
          <w:p>
            <w:pPr>
              <w:spacing w:after="0"/>
            </w:pPr>
            <w:r>
              <w:rPr>
                <w:rFonts w:ascii="Calibri" w:hAnsi="Calibri"/>
                <w:b w:val="0"/>
                <w:i w:val="0"/>
                <w:color w:val="1B2A32"/>
                <w:sz w:val="18"/>
              </w:rPr>
              <w:t>☐  P2P</w:t>
            </w:r>
          </w:p>
        </w:tc>
        <w:tc>
          <w:tcPr>
            <w:tcW w:type="dxa" w:w="3168"/>
            <w:tcMar>
              <w:top w:w="16" w:type="dxa"/>
              <w:bottom w:w="16" w:type="dxa"/>
              <w:start w:w="30" w:type="dxa"/>
              <w:end w:w="70" w:type="dxa"/>
            </w:tcMar>
          </w:tcPr>
          <w:p>
            <w:pPr>
              <w:spacing w:after="0"/>
            </w:pPr>
            <w:r>
              <w:rPr>
                <w:rFonts w:ascii="Calibri" w:hAnsi="Calibri"/>
                <w:b w:val="0"/>
                <w:i w:val="0"/>
                <w:color w:val="1B2A32"/>
                <w:sz w:val="18"/>
              </w:rPr>
              <w:t>☐  Other</w:t>
            </w:r>
          </w:p>
        </w:tc>
        <w:tc>
          <w:tcPr>
            <w:tcW w:type="dxa" w:w="3168"/>
            <w:tcMar>
              <w:top w:w="16" w:type="dxa"/>
              <w:bottom w:w="16" w:type="dxa"/>
              <w:start w:w="30" w:type="dxa"/>
              <w:end w:w="70" w:type="dxa"/>
            </w:tcMar>
          </w:tcPr>
          <w:p>
            <w:pPr>
              <w:spacing w:after="0"/>
            </w:pPr>
          </w:p>
        </w:tc>
      </w:tr>
    </w:tbl>
    <w:p>
      <w:pPr>
        <w:spacing w:after="40"/>
      </w:pPr>
    </w:p>
    <w:p>
      <w:pPr>
        <w:spacing w:after="20"/>
      </w:pPr>
      <w:r>
        <w:rPr>
          <w:rFonts w:ascii="Calibri" w:hAnsi="Calibri"/>
          <w:b/>
          <w:i w:val="0"/>
          <w:color w:val="123B4F"/>
          <w:sz w:val="18"/>
        </w:rPr>
        <w:t>Lender type: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6" w:type="dxa"/>
              <w:bottom w:w="16" w:type="dxa"/>
              <w:start w:w="30" w:type="dxa"/>
              <w:end w:w="70" w:type="dxa"/>
            </w:tcMar>
          </w:tcPr>
          <w:p>
            <w:pPr>
              <w:spacing w:after="0"/>
            </w:pPr>
            <w:r>
              <w:rPr>
                <w:rFonts w:ascii="Calibri" w:hAnsi="Calibri"/>
                <w:b w:val="0"/>
                <w:i w:val="0"/>
                <w:color w:val="1B2A32"/>
                <w:sz w:val="18"/>
              </w:rPr>
              <w:t>☐  Bank</w:t>
            </w:r>
          </w:p>
        </w:tc>
        <w:tc>
          <w:tcPr>
            <w:tcW w:type="dxa" w:w="3168"/>
            <w:tcMar>
              <w:top w:w="16" w:type="dxa"/>
              <w:bottom w:w="16" w:type="dxa"/>
              <w:start w:w="30" w:type="dxa"/>
              <w:end w:w="70" w:type="dxa"/>
            </w:tcMar>
          </w:tcPr>
          <w:p>
            <w:pPr>
              <w:spacing w:after="0"/>
            </w:pPr>
            <w:r>
              <w:rPr>
                <w:rFonts w:ascii="Calibri" w:hAnsi="Calibri"/>
                <w:b w:val="0"/>
                <w:i w:val="0"/>
                <w:color w:val="1B2A32"/>
                <w:sz w:val="18"/>
              </w:rPr>
              <w:t>☐  NBFC</w:t>
            </w:r>
          </w:p>
        </w:tc>
        <w:tc>
          <w:tcPr>
            <w:tcW w:type="dxa" w:w="3168"/>
            <w:tcMar>
              <w:top w:w="16" w:type="dxa"/>
              <w:bottom w:w="16" w:type="dxa"/>
              <w:start w:w="30" w:type="dxa"/>
              <w:end w:w="70" w:type="dxa"/>
            </w:tcMar>
          </w:tcPr>
          <w:p>
            <w:pPr>
              <w:spacing w:after="0"/>
            </w:pPr>
            <w:r>
              <w:rPr>
                <w:rFonts w:ascii="Calibri" w:hAnsi="Calibri"/>
                <w:b w:val="0"/>
                <w:i w:val="0"/>
                <w:color w:val="1B2A32"/>
                <w:sz w:val="18"/>
              </w:rPr>
              <w:t>☐  Housing Finance Co.</w:t>
            </w:r>
          </w:p>
        </w:tc>
      </w:tr>
      <w:tr>
        <w:tc>
          <w:tcPr>
            <w:tcW w:type="dxa" w:w="3168"/>
            <w:tcMar>
              <w:top w:w="16" w:type="dxa"/>
              <w:bottom w:w="16" w:type="dxa"/>
              <w:start w:w="30" w:type="dxa"/>
              <w:end w:w="70" w:type="dxa"/>
            </w:tcMar>
          </w:tcPr>
          <w:p>
            <w:pPr>
              <w:spacing w:after="0"/>
            </w:pPr>
            <w:r>
              <w:rPr>
                <w:rFonts w:ascii="Calibri" w:hAnsi="Calibri"/>
                <w:b w:val="0"/>
                <w:i w:val="0"/>
                <w:color w:val="1B2A32"/>
                <w:sz w:val="18"/>
              </w:rPr>
              <w:t>☐  Fintech / LSP</w:t>
            </w:r>
          </w:p>
        </w:tc>
        <w:tc>
          <w:tcPr>
            <w:tcW w:type="dxa" w:w="3168"/>
            <w:tcMar>
              <w:top w:w="16" w:type="dxa"/>
              <w:bottom w:w="16" w:type="dxa"/>
              <w:start w:w="30" w:type="dxa"/>
              <w:end w:w="70" w:type="dxa"/>
            </w:tcMar>
          </w:tcPr>
          <w:p>
            <w:pPr>
              <w:spacing w:after="0"/>
            </w:pPr>
            <w:r>
              <w:rPr>
                <w:rFonts w:ascii="Calibri" w:hAnsi="Calibri"/>
                <w:b w:val="0"/>
                <w:i w:val="0"/>
                <w:color w:val="1B2A32"/>
                <w:sz w:val="18"/>
              </w:rPr>
              <w:t>☐  Microfinance</w:t>
            </w:r>
          </w:p>
        </w:tc>
        <w:tc>
          <w:tcPr>
            <w:tcW w:type="dxa" w:w="3168"/>
            <w:tcMar>
              <w:top w:w="16" w:type="dxa"/>
              <w:bottom w:w="16" w:type="dxa"/>
              <w:start w:w="30" w:type="dxa"/>
              <w:end w:w="70" w:type="dxa"/>
            </w:tcMar>
          </w:tcPr>
          <w:p>
            <w:pPr>
              <w:spacing w:after="0"/>
            </w:pPr>
            <w:r>
              <w:rPr>
                <w:rFonts w:ascii="Calibri" w:hAnsi="Calibri"/>
                <w:b w:val="0"/>
                <w:i w:val="0"/>
                <w:color w:val="1B2A32"/>
                <w:sz w:val="18"/>
              </w:rPr>
              <w:t>☐  P2P platform</w:t>
            </w:r>
          </w:p>
        </w:tc>
      </w:tr>
      <w:tr>
        <w:tc>
          <w:tcPr>
            <w:tcW w:type="dxa" w:w="3168"/>
            <w:tcMar>
              <w:top w:w="16" w:type="dxa"/>
              <w:bottom w:w="16" w:type="dxa"/>
              <w:start w:w="30" w:type="dxa"/>
              <w:end w:w="70" w:type="dxa"/>
            </w:tcMar>
          </w:tcPr>
          <w:p>
            <w:pPr>
              <w:spacing w:after="0"/>
            </w:pPr>
            <w:r>
              <w:rPr>
                <w:rFonts w:ascii="Calibri" w:hAnsi="Calibri"/>
                <w:b w:val="0"/>
                <w:i w:val="0"/>
                <w:color w:val="1B2A32"/>
                <w:sz w:val="18"/>
              </w:rPr>
              <w:t>☐  Private lender</w:t>
            </w:r>
          </w:p>
        </w:tc>
        <w:tc>
          <w:tcPr>
            <w:tcW w:type="dxa" w:w="3168"/>
            <w:tcMar>
              <w:top w:w="16" w:type="dxa"/>
              <w:bottom w:w="16" w:type="dxa"/>
              <w:start w:w="30" w:type="dxa"/>
              <w:end w:w="70" w:type="dxa"/>
            </w:tcMar>
          </w:tcPr>
          <w:p>
            <w:pPr>
              <w:spacing w:after="0"/>
            </w:pPr>
          </w:p>
        </w:tc>
        <w:tc>
          <w:tcPr>
            <w:tcW w:type="dxa" w:w="3168"/>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Loan / outstanding amount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in dispute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Is there an arbitration clause? (Y/N)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Is the loan secured? (Y/N)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Brief summary of the dispute (facts, dates)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THE PARTIES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Name (individual / entity)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Type (Individual / Bank / NBFC / Fintech-LSP / Other)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PAN / CIN / GSTIN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Address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Loan account / reference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Mobile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Email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Authorised representative / advocate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Other party (name &amp; contact)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RELIEF SOUGHT</w:t>
            </w:r>
          </w:p>
        </w:tc>
      </w:tr>
    </w:tbl>
    <w:p>
      <w:pPr>
        <w:spacing w:after="20"/>
      </w:pPr>
    </w:p>
    <w:p>
      <w:pPr>
        <w:spacing w:after="20"/>
      </w:pPr>
      <w:r>
        <w:rPr>
          <w:rFonts w:ascii="Calibri" w:hAnsi="Calibri"/>
          <w:b/>
          <w:i w:val="0"/>
          <w:color w:val="123B4F"/>
          <w:sz w:val="18"/>
        </w:rPr>
        <w:t>Relief:</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One-time settlement / waiver</w:t>
            </w:r>
          </w:p>
        </w:tc>
        <w:tc>
          <w:tcPr>
            <w:tcW w:type="dxa" w:w="4752"/>
            <w:tcMar>
              <w:top w:w="16" w:type="dxa"/>
              <w:bottom w:w="16" w:type="dxa"/>
              <w:start w:w="30" w:type="dxa"/>
              <w:end w:w="70" w:type="dxa"/>
            </w:tcMar>
          </w:tcPr>
          <w:p>
            <w:pPr>
              <w:spacing w:after="0"/>
            </w:pPr>
            <w:r>
              <w:rPr>
                <w:rFonts w:ascii="Calibri" w:hAnsi="Calibri"/>
                <w:b w:val="0"/>
                <w:i w:val="0"/>
                <w:color w:val="1B2A32"/>
                <w:sz w:val="18"/>
              </w:rPr>
              <w:t>☐  Refund of wrong charges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Stop harassment</w:t>
            </w:r>
          </w:p>
        </w:tc>
        <w:tc>
          <w:tcPr>
            <w:tcW w:type="dxa" w:w="4752"/>
            <w:tcMar>
              <w:top w:w="16" w:type="dxa"/>
              <w:bottom w:w="16" w:type="dxa"/>
              <w:start w:w="30" w:type="dxa"/>
              <w:end w:w="70" w:type="dxa"/>
            </w:tcMar>
          </w:tcPr>
          <w:p>
            <w:pPr>
              <w:spacing w:after="0"/>
            </w:pPr>
            <w:r>
              <w:rPr>
                <w:rFonts w:ascii="Calibri" w:hAnsi="Calibri"/>
                <w:b w:val="0"/>
                <w:i w:val="0"/>
                <w:color w:val="1B2A32"/>
                <w:sz w:val="18"/>
              </w:rPr>
              <w:t>☐  Credit-bureau correction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Loan restructuring</w:t>
            </w:r>
          </w:p>
        </w:tc>
        <w:tc>
          <w:tcPr>
            <w:tcW w:type="dxa" w:w="4752"/>
            <w:tcMar>
              <w:top w:w="16" w:type="dxa"/>
              <w:bottom w:w="16" w:type="dxa"/>
              <w:start w:w="30" w:type="dxa"/>
              <w:end w:w="70" w:type="dxa"/>
            </w:tcMar>
          </w:tcPr>
          <w:p>
            <w:pPr>
              <w:spacing w:after="0"/>
            </w:pPr>
            <w:r>
              <w:rPr>
                <w:rFonts w:ascii="Calibri" w:hAnsi="Calibri"/>
                <w:b w:val="0"/>
                <w:i w:val="0"/>
                <w:color w:val="1B2A32"/>
                <w:sz w:val="18"/>
              </w:rPr>
              <w:t>☐  Recovery of amount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Return of security / documents</w:t>
            </w:r>
          </w:p>
        </w:tc>
        <w:tc>
          <w:tcPr>
            <w:tcW w:type="dxa" w:w="4752"/>
            <w:tcMar>
              <w:top w:w="16" w:type="dxa"/>
              <w:bottom w:w="16" w:type="dxa"/>
              <w:start w:w="30" w:type="dxa"/>
              <w:end w:w="70" w:type="dxa"/>
            </w:tcMar>
          </w:tcPr>
          <w:p>
            <w:pPr>
              <w:spacing w:after="0"/>
            </w:pPr>
            <w:r>
              <w:rPr>
                <w:rFonts w:ascii="Calibri" w:hAnsi="Calibri"/>
                <w:b w:val="0"/>
                <w:i w:val="0"/>
                <w:color w:val="1B2A32"/>
                <w:sz w:val="18"/>
              </w:rPr>
              <w:t>☐  No-Dues / NOC</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Compounding of cheque case</w:t>
            </w:r>
          </w:p>
        </w:tc>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I authorise Equator Resolution to administer this matter and to notify the other party.</w:t>
      </w:r>
    </w:p>
    <w:p>
      <w:pPr>
        <w:spacing w:after="40"/>
        <w:jc w:val="both"/>
      </w:pPr>
      <w:r>
        <w:rPr>
          <w:rFonts w:ascii="Calibri" w:hAnsi="Calibri"/>
          <w:b w:val="0"/>
          <w:i w:val="0"/>
          <w:color w:val="1B2A32"/>
          <w:sz w:val="18"/>
        </w:rPr>
        <w:t xml:space="preserve">☐  </w:t>
      </w:r>
      <w:r>
        <w:rPr>
          <w:rFonts w:ascii="Calibri" w:hAnsi="Calibri"/>
          <w:b w:val="0"/>
          <w:i w:val="0"/>
          <w:color w:val="1B2A32"/>
          <w:sz w:val="18"/>
        </w:rPr>
        <w:t>I understand a mediated settlement, once signed &amp; registered, is enforceable as a decree (s.27).</w:t>
      </w:r>
    </w:p>
    <w:p>
      <w:pPr>
        <w:spacing w:after="40"/>
        <w:jc w:val="both"/>
      </w:pPr>
      <w:r>
        <w:rPr>
          <w:rFonts w:ascii="Calibri" w:hAnsi="Calibri"/>
          <w:b w:val="0"/>
          <w:i w:val="0"/>
          <w:color w:val="1B2A32"/>
          <w:sz w:val="18"/>
        </w:rPr>
        <w:t xml:space="preserve">☐  </w:t>
      </w:r>
      <w:r>
        <w:rPr>
          <w:rFonts w:ascii="Calibri" w:hAnsi="Calibri"/>
          <w:b w:val="0"/>
          <w:i w:val="0"/>
          <w:color w:val="1B2A32"/>
          <w:sz w:val="18"/>
        </w:rPr>
        <w:t>The information is true to the best of my knowledge.</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Applicant</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Received by (Equator)</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If the matter is a SARFAESI/DRT recovery or a service-deficiency complaint, Equator will guide you to the correct forum (DRT / RBI Ombudsman) and may mediate any settlement in parallel.</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Notice to the Other Party</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F-L03</w:t>
            </w:r>
          </w:p>
        </w:tc>
      </w:tr>
    </w:tbl>
    <w:p>
      <w:pPr>
        <w:spacing w:after="80"/>
      </w:pPr>
      <w:r>
        <w:rPr>
          <w:rFonts w:ascii="Calibri" w:hAnsi="Calibri"/>
          <w:b w:val="0"/>
          <w:i/>
          <w:color w:val="556168"/>
          <w:sz w:val="18"/>
        </w:rPr>
        <w:t>Issued by Equator inviting the other party to participate.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Delivery channel</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SUBJECT: INVITATION TO RESOLVE A LOAN DISPUTE</w:t>
            </w:r>
          </w:p>
        </w:tc>
      </w:tr>
    </w:tbl>
    <w:p>
      <w:pPr>
        <w:spacing w:after="20"/>
      </w:pPr>
    </w:p>
    <w:p>
      <w:pPr>
        <w:spacing w:after="80"/>
        <w:jc w:val="both"/>
      </w:pPr>
      <w:r>
        <w:rPr>
          <w:rFonts w:ascii="Calibri" w:hAnsi="Calibri"/>
          <w:b w:val="0"/>
          <w:i w:val="0"/>
          <w:color w:val="1B2A32"/>
          <w:sz w:val="19"/>
        </w:rPr>
        <w:t>Equator Resolution has received a request to resolve a loan/financial dispute to which you are a party. The process is voluntary, confidential and time-bound; a mediated settlement is enforceable as a decree.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Brief nature of the dispute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Response due within</w:t>
            </w:r>
          </w:p>
        </w:tc>
        <w:tc>
          <w:tcPr>
            <w:tcW w:type="dxa" w:w="6273"/>
            <w:tcMar>
              <w:top w:w="60" w:type="dxa"/>
              <w:bottom w:w="60" w:type="dxa"/>
              <w:start w:w="110" w:type="dxa"/>
              <w:end w:w="110" w:type="dxa"/>
            </w:tcMar>
          </w:tcPr>
          <w:p>
            <w:pPr>
              <w:spacing w:after="0"/>
            </w:pPr>
          </w:p>
        </w:tc>
      </w:tr>
    </w:tbl>
    <w:p>
      <w:pPr>
        <w:spacing w:after="40"/>
      </w:pPr>
    </w:p>
    <w:p>
      <w:pPr>
        <w:spacing w:after="80"/>
        <w:jc w:val="both"/>
      </w:pPr>
      <w:r>
        <w:rPr>
          <w:rFonts w:ascii="Calibri" w:hAnsi="Calibri"/>
          <w:b w:val="0"/>
          <w:i w:val="0"/>
          <w:color w:val="1B2A32"/>
          <w:sz w:val="19"/>
        </w:rPr>
        <w:t>Please file your Response (Form F-L05) within 14 days. If we do not hear from you, a non-commencement report will be issued and the applicant may pursue other remedies.</w:t>
      </w: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 Equator Resolution</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Borrower Grievance / Complaint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F-L04</w:t>
            </w:r>
          </w:p>
        </w:tc>
      </w:tr>
    </w:tbl>
    <w:p>
      <w:pPr>
        <w:spacing w:after="80"/>
      </w:pPr>
      <w:r>
        <w:rPr>
          <w:rFonts w:ascii="Calibri" w:hAnsi="Calibri"/>
          <w:b w:val="0"/>
          <w:i/>
          <w:color w:val="556168"/>
          <w:sz w:val="18"/>
        </w:rPr>
        <w:t>For a borrower to record a complaint against a lender (deficiency, charges, harassment). Helps escalate to the lender's grievance officer and, if needed, the RBI Ombudsman.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Borrower name &amp; loan a/c</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Lender / LSP</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NATURE OF GRIEVANCE</w:t>
            </w:r>
          </w:p>
        </w:tc>
      </w:tr>
    </w:tbl>
    <w:p>
      <w:pPr>
        <w:spacing w:after="20"/>
      </w:pPr>
    </w:p>
    <w:p>
      <w:pPr>
        <w:spacing w:after="20"/>
      </w:pPr>
      <w:r>
        <w:rPr>
          <w:rFonts w:ascii="Calibri" w:hAnsi="Calibri"/>
          <w:b/>
          <w:i w:val="0"/>
          <w:color w:val="123B4F"/>
          <w:sz w:val="18"/>
        </w:rPr>
        <w:t>This grievance concerns: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Wrong / excess charges</w:t>
            </w:r>
          </w:p>
        </w:tc>
        <w:tc>
          <w:tcPr>
            <w:tcW w:type="dxa" w:w="4752"/>
            <w:tcMar>
              <w:top w:w="16" w:type="dxa"/>
              <w:bottom w:w="16" w:type="dxa"/>
              <w:start w:w="30" w:type="dxa"/>
              <w:end w:w="70" w:type="dxa"/>
            </w:tcMar>
          </w:tcPr>
          <w:p>
            <w:pPr>
              <w:spacing w:after="0"/>
            </w:pPr>
            <w:r>
              <w:rPr>
                <w:rFonts w:ascii="Calibri" w:hAnsi="Calibri"/>
                <w:b w:val="0"/>
                <w:i w:val="0"/>
                <w:color w:val="1B2A32"/>
                <w:sz w:val="18"/>
              </w:rPr>
              <w:t>☐  Mis-selling</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Recovery-agent harassment</w:t>
            </w:r>
          </w:p>
        </w:tc>
        <w:tc>
          <w:tcPr>
            <w:tcW w:type="dxa" w:w="4752"/>
            <w:tcMar>
              <w:top w:w="16" w:type="dxa"/>
              <w:bottom w:w="16" w:type="dxa"/>
              <w:start w:w="30" w:type="dxa"/>
              <w:end w:w="70" w:type="dxa"/>
            </w:tcMar>
          </w:tcPr>
          <w:p>
            <w:pPr>
              <w:spacing w:after="0"/>
            </w:pPr>
            <w:r>
              <w:rPr>
                <w:rFonts w:ascii="Calibri" w:hAnsi="Calibri"/>
                <w:b w:val="0"/>
                <w:i w:val="0"/>
                <w:color w:val="1B2A32"/>
                <w:sz w:val="18"/>
              </w:rPr>
              <w:t>☐  Digital-lending issue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Credit-bureau error</w:t>
            </w:r>
          </w:p>
        </w:tc>
        <w:tc>
          <w:tcPr>
            <w:tcW w:type="dxa" w:w="4752"/>
            <w:tcMar>
              <w:top w:w="16" w:type="dxa"/>
              <w:bottom w:w="16" w:type="dxa"/>
              <w:start w:w="30" w:type="dxa"/>
              <w:end w:w="70" w:type="dxa"/>
            </w:tcMar>
          </w:tcPr>
          <w:p>
            <w:pPr>
              <w:spacing w:after="0"/>
            </w:pPr>
            <w:r>
              <w:rPr>
                <w:rFonts w:ascii="Calibri" w:hAnsi="Calibri"/>
                <w:b w:val="0"/>
                <w:i w:val="0"/>
                <w:color w:val="1B2A32"/>
                <w:sz w:val="18"/>
              </w:rPr>
              <w:t>☐  Service deficiency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Describe the grievance (facts, dates, amounts)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Have you complained to the lender's grievance officer? (date)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Response received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RELIEF SOUGHT</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What outcome do you want?</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If the lender does not resolve this within 30 days or the reply is unsatisfactory, you may escalate free of cost to the RBI Integrated Ombudsman at cms.rbi.org.in. Equator can mediate the underlying dispute in parallel.</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Borrower</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Received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Response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F-L05</w:t>
            </w:r>
          </w:p>
        </w:tc>
      </w:tr>
    </w:tbl>
    <w:p>
      <w:pPr>
        <w:spacing w:after="80"/>
      </w:pPr>
      <w:r>
        <w:rPr>
          <w:rFonts w:ascii="Calibri" w:hAnsi="Calibri"/>
          <w:b w:val="0"/>
          <w:i/>
          <w:color w:val="556168"/>
          <w:sz w:val="18"/>
        </w:rPr>
        <w:t>The other party's reply.</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Responding party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PARTY DETAILS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Name (individual / entity)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Type (Individual / Bank / NBFC / Fintech-LSP / Other)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PAN / CIN / GSTIN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Address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Loan account / reference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Mobile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Email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Authorised representative / advocate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POSITION</w:t>
            </w:r>
          </w:p>
        </w:tc>
      </w:tr>
    </w:tbl>
    <w:p>
      <w:pPr>
        <w:spacing w:after="20"/>
      </w:pPr>
    </w:p>
    <w:p>
      <w:pPr>
        <w:spacing w:after="20"/>
      </w:pPr>
      <w:r>
        <w:rPr>
          <w:rFonts w:ascii="Calibri" w:hAnsi="Calibri"/>
          <w:b/>
          <w:i w:val="0"/>
          <w:color w:val="123B4F"/>
          <w:sz w:val="18"/>
        </w:rPr>
        <w:t>We: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Agree to participate and settle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Dispute the claim (state below)</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Object to jurisdiction / propose the correct forum</w:t>
            </w: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Response to the claim</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PROPOSAL / COUNTER-OFFER</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Settlement proposal / counter-offer</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contents are true to the best of our knowledge and belief.</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Respondent</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Received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Neutral Selection &amp; Disclosure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F-L06</w:t>
            </w:r>
          </w:p>
        </w:tc>
      </w:tr>
    </w:tbl>
    <w:p>
      <w:pPr>
        <w:spacing w:after="80"/>
      </w:pPr>
      <w:r>
        <w:rPr>
          <w:rFonts w:ascii="Calibri" w:hAnsi="Calibri"/>
          <w:b w:val="0"/>
          <w:i/>
          <w:color w:val="556168"/>
          <w:sz w:val="18"/>
        </w:rPr>
        <w:t>Records selection of the conciliator/mediator/arbitrator and their disclosure.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Neutral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Role (conciliator/mediator/arbitrator)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Panel ID / grade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DISCLOSURE OF INDEPENDENCE</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I am independent and impartial and have no relationship with either party or the loan that could affect my neutrality.</w:t>
      </w:r>
    </w:p>
    <w:p>
      <w:pPr>
        <w:spacing w:after="40"/>
        <w:jc w:val="both"/>
      </w:pPr>
      <w:r>
        <w:rPr>
          <w:rFonts w:ascii="Calibri" w:hAnsi="Calibri"/>
          <w:b w:val="0"/>
          <w:i w:val="0"/>
          <w:color w:val="1B2A32"/>
          <w:sz w:val="18"/>
        </w:rPr>
        <w:t xml:space="preserve">☐  </w:t>
      </w:r>
      <w:r>
        <w:rPr>
          <w:rFonts w:ascii="Calibri" w:hAnsi="Calibri"/>
          <w:b w:val="0"/>
          <w:i w:val="0"/>
          <w:color w:val="1B2A32"/>
          <w:sz w:val="18"/>
        </w:rPr>
        <w:t>I will keep the proceedings confidential and give no legal advice.</w:t>
      </w:r>
    </w:p>
    <w:p>
      <w:pPr>
        <w:spacing w:after="40"/>
        <w:jc w:val="both"/>
      </w:pPr>
      <w:r>
        <w:rPr>
          <w:rFonts w:ascii="Calibri" w:hAnsi="Calibri"/>
          <w:b w:val="0"/>
          <w:i w:val="0"/>
          <w:color w:val="1B2A32"/>
          <w:sz w:val="18"/>
        </w:rPr>
        <w:t xml:space="preserve">☐  </w:t>
      </w:r>
      <w:r>
        <w:rPr>
          <w:rFonts w:ascii="Calibri" w:hAnsi="Calibri"/>
          <w:b w:val="0"/>
          <w:i w:val="0"/>
          <w:color w:val="1B2A32"/>
          <w:sz w:val="18"/>
        </w:rPr>
        <w:t>I will disclose any later conflict without delay.</w:t>
      </w:r>
    </w:p>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DISCLOSURES (if any)</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Circumstance disclosed</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Neutral</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One-Time Settlement (OTS) Agreement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F-L07</w:t>
            </w:r>
          </w:p>
        </w:tc>
      </w:tr>
    </w:tbl>
    <w:p>
      <w:pPr>
        <w:spacing w:after="80"/>
      </w:pPr>
      <w:r>
        <w:rPr>
          <w:rFonts w:ascii="Calibri" w:hAnsi="Calibri"/>
          <w:b w:val="0"/>
          <w:i/>
          <w:color w:val="556168"/>
          <w:sz w:val="18"/>
        </w:rPr>
        <w:t>The negotiated compromise closing the loan. Enforceable as a decree (s.27) on registration.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&amp; place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Borrower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Lender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Loan account no.</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SETTLEMENT TERMS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Total outstanding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Settlement amount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Waiver of interest/penal charges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Payment mode &amp; schedule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Escrow account (see F-L11)</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LENDER'S OBLIGATIONS ON PAYMENT</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On receipt of the settlement amount, the Lender shall issue a </w:t>
      </w:r>
      <w:r>
        <w:rPr>
          <w:rFonts w:ascii="Calibri" w:hAnsi="Calibri"/>
          <w:b/>
          <w:i w:val="0"/>
          <w:color w:val="1B2A32"/>
          <w:sz w:val="18"/>
        </w:rPr>
        <w:t>No-Dues / NOC</w:t>
      </w:r>
      <w:r>
        <w:rPr>
          <w:rFonts w:ascii="Calibri" w:hAnsi="Calibri"/>
          <w:b w:val="0"/>
          <w:i w:val="0"/>
          <w:color w:val="1B2A32"/>
          <w:sz w:val="18"/>
        </w:rPr>
        <w:t xml:space="preserve"> and close the loan account.</w:t>
      </w:r>
    </w:p>
    <w:p>
      <w:pPr>
        <w:spacing w:after="40"/>
        <w:jc w:val="both"/>
      </w:pPr>
      <w:r>
        <w:rPr>
          <w:rFonts w:ascii="Calibri" w:hAnsi="Calibri"/>
          <w:b w:val="0"/>
          <w:i w:val="0"/>
          <w:color w:val="1B2A32"/>
          <w:sz w:val="18"/>
        </w:rPr>
        <w:t xml:space="preserve">☐  </w:t>
      </w:r>
      <w:r>
        <w:rPr>
          <w:rFonts w:ascii="Calibri" w:hAnsi="Calibri"/>
          <w:b w:val="0"/>
          <w:i w:val="0"/>
          <w:color w:val="1B2A32"/>
          <w:sz w:val="18"/>
        </w:rPr>
        <w:t>The Lender shall return the original documents / security and any dishonoured cheque.</w:t>
      </w:r>
    </w:p>
    <w:p>
      <w:pPr>
        <w:spacing w:after="40"/>
        <w:jc w:val="both"/>
      </w:pPr>
      <w:r>
        <w:rPr>
          <w:rFonts w:ascii="Calibri" w:hAnsi="Calibri"/>
          <w:b w:val="0"/>
          <w:i w:val="0"/>
          <w:color w:val="1B2A32"/>
          <w:sz w:val="18"/>
        </w:rPr>
        <w:t xml:space="preserve">☐  </w:t>
      </w:r>
      <w:r>
        <w:rPr>
          <w:rFonts w:ascii="Calibri" w:hAnsi="Calibri"/>
          <w:b w:val="0"/>
          <w:i w:val="0"/>
          <w:color w:val="1B2A32"/>
          <w:sz w:val="18"/>
        </w:rPr>
        <w:t>The Lender shall update the credit bureau to reflect the settled / closed status.</w:t>
      </w: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This is in </w:t>
      </w:r>
      <w:r>
        <w:rPr>
          <w:rFonts w:ascii="Calibri" w:hAnsi="Calibri"/>
          <w:b/>
          <w:i w:val="0"/>
          <w:color w:val="1B2A32"/>
          <w:sz w:val="18"/>
        </w:rPr>
        <w:t>full and final settlement</w:t>
      </w:r>
      <w:r>
        <w:rPr>
          <w:rFonts w:ascii="Calibri" w:hAnsi="Calibri"/>
          <w:b w:val="0"/>
          <w:i w:val="0"/>
          <w:color w:val="1B2A32"/>
          <w:sz w:val="18"/>
        </w:rPr>
        <w:t xml:space="preserve"> of the loan; the Lender waives any further claim.</w:t>
      </w:r>
    </w:p>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GENERAL</w:t>
            </w:r>
          </w:p>
        </w:tc>
      </w:tr>
    </w:tbl>
    <w:p>
      <w:pPr>
        <w:spacing w:after="20"/>
      </w:pPr>
    </w:p>
    <w:p>
      <w:pPr>
        <w:spacing w:after="80"/>
        <w:jc w:val="both"/>
      </w:pPr>
      <w:r>
        <w:rPr>
          <w:rFonts w:ascii="Calibri" w:hAnsi="Calibri"/>
          <w:b w:val="0"/>
          <w:i w:val="0"/>
          <w:color w:val="1B2A32"/>
          <w:sz w:val="19"/>
        </w:rPr>
        <w:t>This settlement is voluntary and without coercion. It is registered under the Mediation Act, 2023 (s.20) and is enforceable as a decree (s.27). Stamp: [e-stamp certificate no.].</w:t>
      </w: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Borrower</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Lender</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Mediator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NI-138 Settlement &amp; Compounding Memorandum</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F-L08</w:t>
            </w:r>
          </w:p>
        </w:tc>
      </w:tr>
    </w:tbl>
    <w:p>
      <w:pPr>
        <w:spacing w:after="80"/>
      </w:pPr>
      <w:r>
        <w:rPr>
          <w:rFonts w:ascii="Calibri" w:hAnsi="Calibri"/>
          <w:b w:val="0"/>
          <w:i/>
          <w:color w:val="556168"/>
          <w:sz w:val="18"/>
        </w:rPr>
        <w:t>Records settlement of a cheque-bounce matter and consent to compounding / Lok Adalat.</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 (mediation)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Court case no. (s.138)</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Complainant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Accused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Cheque no. &amp; amount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SETTLEMENT</w:t>
            </w:r>
          </w:p>
        </w:tc>
      </w:tr>
    </w:tbl>
    <w:p>
      <w:pPr>
        <w:spacing w:after="20"/>
      </w:pPr>
    </w:p>
    <w:p>
      <w:pPr>
        <w:spacing w:after="80"/>
        <w:jc w:val="both"/>
      </w:pPr>
      <w:r>
        <w:rPr>
          <w:rFonts w:ascii="Calibri" w:hAnsi="Calibri"/>
          <w:b w:val="0"/>
          <w:i w:val="0"/>
          <w:color w:val="1B2A32"/>
          <w:sz w:val="19"/>
        </w:rPr>
        <w:t>The parties have settled the dishonoured-cheque dispute. On payment of ₹[…] through escrow, the Complainant has no objection to the closure of the criminal case.</w:t>
      </w:r>
    </w:p>
    <w:p>
      <w:pPr>
        <w:spacing w:after="20"/>
      </w:pPr>
      <w:r>
        <w:rPr>
          <w:rFonts w:ascii="Calibri" w:hAnsi="Calibri"/>
          <w:b/>
          <w:i w:val="0"/>
          <w:color w:val="123B4F"/>
          <w:sz w:val="18"/>
        </w:rPr>
        <w:t>Route: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Compounding under Section 147 NI Act (before the court)</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Recording in a Lok Adalat (award = decree)</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Complainant consents to compounding / the Lok Adalat settlement and will jointly move the court.</w:t>
      </w:r>
    </w:p>
    <w:p>
      <w:pPr>
        <w:spacing w:after="40"/>
        <w:jc w:val="both"/>
      </w:pPr>
      <w:r>
        <w:rPr>
          <w:rFonts w:ascii="Calibri" w:hAnsi="Calibri"/>
          <w:b w:val="0"/>
          <w:i w:val="0"/>
          <w:color w:val="1B2A32"/>
          <w:sz w:val="18"/>
        </w:rPr>
        <w:t xml:space="preserve">☐  </w:t>
      </w:r>
      <w:r>
        <w:rPr>
          <w:rFonts w:ascii="Calibri" w:hAnsi="Calibri"/>
          <w:b w:val="0"/>
          <w:i w:val="0"/>
          <w:color w:val="1B2A32"/>
          <w:sz w:val="18"/>
        </w:rPr>
        <w:t>The settlement is voluntary; graded compounding costs (Damodar Prabhu) are noted.</w:t>
      </w:r>
    </w:p>
    <w:p>
      <w:pPr>
        <w:spacing w:after="40"/>
        <w:jc w:val="both"/>
      </w:pPr>
      <w:r>
        <w:rPr>
          <w:rFonts w:ascii="Calibri" w:hAnsi="Calibri"/>
          <w:b w:val="0"/>
          <w:i w:val="0"/>
          <w:color w:val="1B2A32"/>
          <w:sz w:val="18"/>
        </w:rPr>
        <w:t xml:space="preserve">☐  </w:t>
      </w:r>
      <w:r>
        <w:rPr>
          <w:rFonts w:ascii="Calibri" w:hAnsi="Calibri"/>
          <w:b w:val="0"/>
          <w:i w:val="0"/>
          <w:color w:val="1B2A32"/>
          <w:sz w:val="18"/>
        </w:rPr>
        <w:t>Escrow releases the payment on the court recording the settlement.</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Complainant</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Accused</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Counsel (if any)</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Recovery-Agent Harassment Complaint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F-L09</w:t>
            </w:r>
          </w:p>
        </w:tc>
      </w:tr>
    </w:tbl>
    <w:p>
      <w:pPr>
        <w:spacing w:after="80"/>
      </w:pPr>
      <w:r>
        <w:rPr>
          <w:rFonts w:ascii="Calibri" w:hAnsi="Calibri"/>
          <w:b w:val="0"/>
          <w:i/>
          <w:color w:val="556168"/>
          <w:sz w:val="18"/>
        </w:rPr>
        <w:t>For a borrower harassed by recovery agents. Escalates to the lender/RBI and preserves remedies.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Borrower name &amp; loan a/c</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Lender / recovery agency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PARTICULARS OF HARASSMENT</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Incidents (date, time, what happened, who)</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p>
      <w:pPr>
        <w:spacing w:after="20"/>
      </w:pPr>
      <w:r>
        <w:rPr>
          <w:rFonts w:ascii="Calibri" w:hAnsi="Calibri"/>
          <w:b/>
          <w:i w:val="0"/>
          <w:color w:val="123B4F"/>
          <w:sz w:val="18"/>
        </w:rPr>
        <w:t>Nature: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Threats / intimidation</w:t>
            </w:r>
          </w:p>
        </w:tc>
        <w:tc>
          <w:tcPr>
            <w:tcW w:type="dxa" w:w="4752"/>
            <w:tcMar>
              <w:top w:w="16" w:type="dxa"/>
              <w:bottom w:w="16" w:type="dxa"/>
              <w:start w:w="30" w:type="dxa"/>
              <w:end w:w="70" w:type="dxa"/>
            </w:tcMar>
          </w:tcPr>
          <w:p>
            <w:pPr>
              <w:spacing w:after="0"/>
            </w:pPr>
            <w:r>
              <w:rPr>
                <w:rFonts w:ascii="Calibri" w:hAnsi="Calibri"/>
                <w:b w:val="0"/>
                <w:i w:val="0"/>
                <w:color w:val="1B2A32"/>
                <w:sz w:val="18"/>
              </w:rPr>
              <w:t>☐  Odd-hour / repeated calls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Contacting family / workplace</w:t>
            </w:r>
          </w:p>
        </w:tc>
        <w:tc>
          <w:tcPr>
            <w:tcW w:type="dxa" w:w="4752"/>
            <w:tcMar>
              <w:top w:w="16" w:type="dxa"/>
              <w:bottom w:w="16" w:type="dxa"/>
              <w:start w:w="30" w:type="dxa"/>
              <w:end w:w="70" w:type="dxa"/>
            </w:tcMar>
          </w:tcPr>
          <w:p>
            <w:pPr>
              <w:spacing w:after="0"/>
            </w:pPr>
            <w:r>
              <w:rPr>
                <w:rFonts w:ascii="Calibri" w:hAnsi="Calibri"/>
                <w:b w:val="0"/>
                <w:i w:val="0"/>
                <w:color w:val="1B2A32"/>
                <w:sz w:val="18"/>
              </w:rPr>
              <w:t>☐  Abusive language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Public shaming</w:t>
            </w:r>
          </w:p>
        </w:tc>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RELIEF</w:t>
            </w:r>
          </w:p>
        </w:tc>
      </w:tr>
    </w:tbl>
    <w:p>
      <w:pPr>
        <w:spacing w:after="20"/>
      </w:pPr>
    </w:p>
    <w:p>
      <w:pPr>
        <w:spacing w:after="20"/>
      </w:pPr>
      <w:r>
        <w:rPr>
          <w:rFonts w:ascii="Calibri" w:hAnsi="Calibri"/>
          <w:b/>
          <w:i w:val="0"/>
          <w:color w:val="123B4F"/>
          <w:sz w:val="18"/>
        </w:rPr>
        <w:t>I seek:</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Immediate stop to harassment</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Escalation to the lender's grievance officer / RBI</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Mediation of the underlying debt</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Compensation</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Recovery agents must comply with the RBI Fair Practices Code; harassment may attract civil and criminal liability. In an emergency, contact the police. Equator will mediate the debt while protecting you.</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Borrower</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Received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Digital-Lending Grievance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F-L10</w:t>
            </w:r>
          </w:p>
        </w:tc>
      </w:tr>
    </w:tbl>
    <w:p>
      <w:pPr>
        <w:spacing w:after="80"/>
      </w:pPr>
      <w:r>
        <w:rPr>
          <w:rFonts w:ascii="Calibri" w:hAnsi="Calibri"/>
          <w:b w:val="0"/>
          <w:i/>
          <w:color w:val="556168"/>
          <w:sz w:val="18"/>
        </w:rPr>
        <w:t>For an app/online loan grievance under the RBI (Digital Lending) Directions, 2025.</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Borrower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App / LSP &amp; Regulated Entity (RE)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Loan / reference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GRIEVANCE</w:t>
            </w:r>
          </w:p>
        </w:tc>
      </w:tr>
    </w:tbl>
    <w:p>
      <w:pPr>
        <w:spacing w:after="20"/>
      </w:pPr>
    </w:p>
    <w:p>
      <w:pPr>
        <w:spacing w:after="20"/>
      </w:pPr>
      <w:r>
        <w:rPr>
          <w:rFonts w:ascii="Calibri" w:hAnsi="Calibri"/>
          <w:b/>
          <w:i w:val="0"/>
          <w:color w:val="123B4F"/>
          <w:sz w:val="18"/>
        </w:rPr>
        <w:t>Issue: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Hidden / excess charges</w:t>
            </w:r>
          </w:p>
        </w:tc>
        <w:tc>
          <w:tcPr>
            <w:tcW w:type="dxa" w:w="4752"/>
            <w:tcMar>
              <w:top w:w="16" w:type="dxa"/>
              <w:bottom w:w="16" w:type="dxa"/>
              <w:start w:w="30" w:type="dxa"/>
              <w:end w:w="70" w:type="dxa"/>
            </w:tcMar>
          </w:tcPr>
          <w:p>
            <w:pPr>
              <w:spacing w:after="0"/>
            </w:pPr>
            <w:r>
              <w:rPr>
                <w:rFonts w:ascii="Calibri" w:hAnsi="Calibri"/>
                <w:b w:val="0"/>
                <w:i w:val="0"/>
                <w:color w:val="1B2A32"/>
                <w:sz w:val="18"/>
              </w:rPr>
              <w:t>☐  No Key Fact Statement (KFS)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No cooling-off honoured</w:t>
            </w:r>
          </w:p>
        </w:tc>
        <w:tc>
          <w:tcPr>
            <w:tcW w:type="dxa" w:w="4752"/>
            <w:tcMar>
              <w:top w:w="16" w:type="dxa"/>
              <w:bottom w:w="16" w:type="dxa"/>
              <w:start w:w="30" w:type="dxa"/>
              <w:end w:w="70" w:type="dxa"/>
            </w:tcMar>
          </w:tcPr>
          <w:p>
            <w:pPr>
              <w:spacing w:after="0"/>
            </w:pPr>
            <w:r>
              <w:rPr>
                <w:rFonts w:ascii="Calibri" w:hAnsi="Calibri"/>
                <w:b w:val="0"/>
                <w:i w:val="0"/>
                <w:color w:val="1B2A32"/>
                <w:sz w:val="18"/>
              </w:rPr>
              <w:t>☐  Data misuse / access to contacts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Coercive recovery</w:t>
            </w:r>
          </w:p>
        </w:tc>
        <w:tc>
          <w:tcPr>
            <w:tcW w:type="dxa" w:w="4752"/>
            <w:tcMar>
              <w:top w:w="16" w:type="dxa"/>
              <w:bottom w:w="16" w:type="dxa"/>
              <w:start w:w="30" w:type="dxa"/>
              <w:end w:w="70" w:type="dxa"/>
            </w:tcMar>
          </w:tcPr>
          <w:p>
            <w:pPr>
              <w:spacing w:after="0"/>
            </w:pPr>
            <w:r>
              <w:rPr>
                <w:rFonts w:ascii="Calibri" w:hAnsi="Calibri"/>
                <w:b w:val="0"/>
                <w:i w:val="0"/>
                <w:color w:val="1B2A32"/>
                <w:sz w:val="18"/>
              </w:rPr>
              <w:t>☐  Wrong credit reporting</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Describe the issue</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Nodal grievance officer contacted? (date)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Response received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If unresolved within 30 days, escalate to the RBI Ombudsman (cms.rbi.org.in). Equator can mediate the charges / settlement.</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Borrower</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Received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Escrow Instruction &amp; Release Schedule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F-L11</w:t>
            </w:r>
          </w:p>
        </w:tc>
      </w:tr>
    </w:tbl>
    <w:p>
      <w:pPr>
        <w:spacing w:after="80"/>
      </w:pPr>
      <w:r>
        <w:rPr>
          <w:rFonts w:ascii="Calibri" w:hAnsi="Calibri"/>
          <w:b w:val="0"/>
          <w:i/>
          <w:color w:val="556168"/>
          <w:sz w:val="18"/>
        </w:rPr>
        <w:t>Secures the settlement money; released against the No-Dues/NOC.</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Payer (borrower)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Payee (lender)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Escrow agent / bank</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RELEASE SCHEDULE</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c>
          <w:tcPr>
            <w:tcW w:type="dxa" w:w="1331"/>
            <w:shd w:val="clear" w:color="auto" w:fill="123B4F"/>
            <w:tcMar>
              <w:top w:w="60" w:type="dxa"/>
              <w:bottom w:w="60" w:type="dxa"/>
              <w:start w:w="110" w:type="dxa"/>
              <w:end w:w="110" w:type="dxa"/>
            </w:tcMar>
          </w:tcPr>
          <w:p>
            <w:pPr>
              <w:spacing w:after="0"/>
            </w:pPr>
            <w:r>
              <w:rPr>
                <w:rFonts w:ascii="Calibri" w:hAnsi="Calibri"/>
                <w:b/>
                <w:i w:val="0"/>
                <w:color w:val="FFFFFF"/>
                <w:sz w:val="17"/>
              </w:rPr>
              <w:t>Tranche</w:t>
            </w:r>
          </w:p>
        </w:tc>
        <w:tc>
          <w:tcPr>
            <w:tcW w:type="dxa" w:w="1711"/>
            <w:shd w:val="clear" w:color="auto" w:fill="123B4F"/>
            <w:tcMar>
              <w:top w:w="60" w:type="dxa"/>
              <w:bottom w:w="60" w:type="dxa"/>
              <w:start w:w="110" w:type="dxa"/>
              <w:end w:w="110" w:type="dxa"/>
            </w:tcMar>
          </w:tcPr>
          <w:p>
            <w:pPr>
              <w:spacing w:after="0"/>
            </w:pPr>
            <w:r>
              <w:rPr>
                <w:rFonts w:ascii="Calibri" w:hAnsi="Calibri"/>
                <w:b/>
                <w:i w:val="0"/>
                <w:color w:val="FFFFFF"/>
                <w:sz w:val="17"/>
              </w:rPr>
              <w:t>Amount (₹)</w:t>
            </w:r>
          </w:p>
        </w:tc>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7"/>
              </w:rPr>
              <w:t>Release trigger</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7"/>
              </w:rPr>
              <w:t>Evidence</w:t>
            </w:r>
          </w:p>
        </w:tc>
      </w:tr>
      <w:tr>
        <w:tc>
          <w:tcPr>
            <w:tcW w:type="dxa" w:w="133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3802"/>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r>
      <w:tr>
        <w:tc>
          <w:tcPr>
            <w:tcW w:type="dxa" w:w="133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3802"/>
            <w:tcMar>
              <w:top w:w="60" w:type="dxa"/>
              <w:bottom w:w="60" w:type="dxa"/>
              <w:start w:w="110" w:type="dxa"/>
              <w:end w:w="110" w:type="dxa"/>
            </w:tcMar>
            <w:shd w:val="clear" w:color="auto" w:fill="F2F6F8"/>
          </w:tcPr>
          <w:p>
            <w:r>
              <w:t xml:space="preserve"> </w:t>
            </w:r>
          </w:p>
        </w:tc>
        <w:tc>
          <w:tcPr>
            <w:tcW w:type="dxa" w:w="2661"/>
            <w:tcMar>
              <w:top w:w="60" w:type="dxa"/>
              <w:bottom w:w="60" w:type="dxa"/>
              <w:start w:w="110" w:type="dxa"/>
              <w:end w:w="110" w:type="dxa"/>
            </w:tcMar>
            <w:shd w:val="clear" w:color="auto" w:fill="F2F6F8"/>
          </w:tcPr>
          <w:p>
            <w:r>
              <w:t xml:space="preserve"> </w:t>
            </w:r>
          </w:p>
        </w:tc>
      </w:tr>
      <w:tr>
        <w:tc>
          <w:tcPr>
            <w:tcW w:type="dxa" w:w="133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3802"/>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r>
      <w:tr>
        <w:tc>
          <w:tcPr>
            <w:tcW w:type="dxa" w:w="133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3802"/>
            <w:tcMar>
              <w:top w:w="60" w:type="dxa"/>
              <w:bottom w:w="60" w:type="dxa"/>
              <w:start w:w="110" w:type="dxa"/>
              <w:end w:w="110" w:type="dxa"/>
            </w:tcMar>
            <w:shd w:val="clear" w:color="auto" w:fill="F2F6F8"/>
          </w:tcPr>
          <w:p>
            <w:r>
              <w:t xml:space="preserve"> </w:t>
            </w:r>
          </w:p>
        </w:tc>
        <w:tc>
          <w:tcPr>
            <w:tcW w:type="dxa" w:w="2661"/>
            <w:tcMar>
              <w:top w:w="60" w:type="dxa"/>
              <w:bottom w:w="60" w:type="dxa"/>
              <w:start w:w="110" w:type="dxa"/>
              <w:end w:w="110" w:type="dxa"/>
            </w:tcMar>
            <w:shd w:val="clear" w:color="auto" w:fill="F2F6F8"/>
          </w:tcPr>
          <w:p>
            <w:r>
              <w:t xml:space="preserve"> </w:t>
            </w:r>
          </w:p>
        </w:tc>
      </w:tr>
    </w:tbl>
    <w:p>
      <w:pPr>
        <w:spacing w:after="40"/>
      </w:pPr>
    </w:p>
    <w:p>
      <w:pPr>
        <w:spacing w:after="80"/>
        <w:jc w:val="both"/>
      </w:pPr>
      <w:r>
        <w:rPr>
          <w:rFonts w:ascii="Calibri" w:hAnsi="Calibri"/>
          <w:b w:val="0"/>
          <w:i w:val="0"/>
          <w:color w:val="1B2A32"/>
          <w:sz w:val="19"/>
        </w:rPr>
        <w:t xml:space="preserve">Release conditions: issuance of the </w:t>
      </w:r>
      <w:r>
        <w:rPr>
          <w:rFonts w:ascii="Calibri" w:hAnsi="Calibri"/>
          <w:b/>
          <w:i w:val="0"/>
          <w:color w:val="1B2A32"/>
          <w:sz w:val="19"/>
        </w:rPr>
        <w:t>No-Dues/NOC</w:t>
      </w:r>
      <w:r>
        <w:rPr>
          <w:rFonts w:ascii="Calibri" w:hAnsi="Calibri"/>
          <w:b w:val="0"/>
          <w:i w:val="0"/>
          <w:color w:val="1B2A32"/>
          <w:sz w:val="19"/>
        </w:rPr>
        <w:t>; return of original documents/security and any cheque; credit-bureau correction.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Fallback if a condition is not met by (date)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Escrow fees &amp; bearer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payer deposits the sum to be released only on the stated conditions.</w:t>
      </w:r>
    </w:p>
    <w:p>
      <w:pPr>
        <w:spacing w:after="40"/>
        <w:jc w:val="both"/>
      </w:pPr>
      <w:r>
        <w:rPr>
          <w:rFonts w:ascii="Calibri" w:hAnsi="Calibri"/>
          <w:b w:val="0"/>
          <w:i w:val="0"/>
          <w:color w:val="1B2A32"/>
          <w:sz w:val="18"/>
        </w:rPr>
        <w:t xml:space="preserve">☐  </w:t>
      </w:r>
      <w:r>
        <w:rPr>
          <w:rFonts w:ascii="Calibri" w:hAnsi="Calibri"/>
          <w:b w:val="0"/>
          <w:i w:val="0"/>
          <w:color w:val="1B2A32"/>
          <w:sz w:val="18"/>
        </w:rPr>
        <w:t>Both parties consent to the escrow agent acting on these instructions; KYC/PMLA applies.</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Borrower (payer)</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Lender (payee)</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Escrow Officer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Consent Award / Mediated Settlement Agreement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F-L12</w:t>
            </w:r>
          </w:p>
        </w:tc>
      </w:tr>
    </w:tbl>
    <w:p>
      <w:pPr>
        <w:spacing w:after="80"/>
      </w:pPr>
      <w:r>
        <w:rPr>
          <w:rFonts w:ascii="Calibri" w:hAnsi="Calibri"/>
          <w:b w:val="0"/>
          <w:i/>
          <w:color w:val="556168"/>
          <w:sz w:val="18"/>
        </w:rPr>
        <w:t>The settlement instrument — MSA (Mediation Act) or consent award (arbitration).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&amp; place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1</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2</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Neutral</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AGREED TERMS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1. Settlement amount &amp; schedule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2. Waiver / adjustment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3. Security / documents / cheque return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4. No-Dues / NOC &amp; credit-bureau update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5. Escrow (see F-L11)</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6. Full &amp; final settlement of</w:t>
            </w:r>
          </w:p>
        </w:tc>
        <w:tc>
          <w:tcPr>
            <w:tcW w:type="dxa" w:w="6273"/>
            <w:tcMar>
              <w:top w:w="60" w:type="dxa"/>
              <w:bottom w:w="60" w:type="dxa"/>
              <w:start w:w="110" w:type="dxa"/>
              <w:end w:w="110" w:type="dxa"/>
            </w:tcMar>
          </w:tcPr>
          <w:p>
            <w:pPr>
              <w:spacing w:after="0"/>
            </w:pPr>
          </w:p>
        </w:tc>
      </w:tr>
    </w:tbl>
    <w:p>
      <w:pPr>
        <w:spacing w:after="40"/>
      </w:pPr>
    </w:p>
    <w:p>
      <w:pPr>
        <w:spacing w:after="80"/>
        <w:jc w:val="both"/>
      </w:pPr>
      <w:r>
        <w:rPr>
          <w:rFonts w:ascii="Calibri" w:hAnsi="Calibri"/>
          <w:b w:val="0"/>
          <w:i w:val="0"/>
          <w:color w:val="1B2A32"/>
          <w:sz w:val="19"/>
        </w:rPr>
        <w:t>Registered under the Mediation Act, 2023 (s.20) and enforceable as a decree (s.27); in arbitration, recorded as a consent award (s.30), enforceable as a decree (s.36).</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Stamp / e-stamp certificate no.</w:t>
            </w:r>
          </w:p>
        </w:tc>
        <w:tc>
          <w:tcPr>
            <w:tcW w:type="dxa" w:w="6273"/>
            <w:tcMar>
              <w:top w:w="60" w:type="dxa"/>
              <w:bottom w:w="60" w:type="dxa"/>
              <w:start w:w="110" w:type="dxa"/>
              <w:end w:w="110" w:type="dxa"/>
            </w:tcMar>
          </w:tcPr>
          <w:p>
            <w:pPr>
              <w:spacing w:after="0"/>
            </w:pP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1</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2</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Neutral (authenticating)</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Statement of Claim (Loan) — Arbitration</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F-L13</w:t>
            </w:r>
          </w:p>
        </w:tc>
      </w:tr>
    </w:tbl>
    <w:p>
      <w:pPr>
        <w:spacing w:after="80"/>
      </w:pPr>
      <w:r>
        <w:rPr>
          <w:rFonts w:ascii="Calibri" w:hAnsi="Calibri"/>
          <w:b w:val="0"/>
          <w:i/>
          <w:color w:val="556168"/>
          <w:sz w:val="18"/>
        </w:rPr>
        <w:t>Where the loan agreement provides for arbitration. May be AI-assisted; review and have counsel settle.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Claimant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Respondent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FACTS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c>
          <w:tcPr>
            <w:tcW w:type="dxa" w:w="950"/>
            <w:shd w:val="clear" w:color="auto" w:fill="123B4F"/>
            <w:tcMar>
              <w:top w:w="60" w:type="dxa"/>
              <w:bottom w:w="60" w:type="dxa"/>
              <w:start w:w="110" w:type="dxa"/>
              <w:end w:w="110" w:type="dxa"/>
            </w:tcMar>
          </w:tcPr>
          <w:p>
            <w:pPr>
              <w:spacing w:after="0"/>
            </w:pPr>
            <w:r>
              <w:rPr>
                <w:rFonts w:ascii="Calibri" w:hAnsi="Calibri"/>
                <w:b/>
                <w:i w:val="0"/>
                <w:color w:val="FFFFFF"/>
                <w:sz w:val="17"/>
              </w:rPr>
              <w:t>No.</w:t>
            </w:r>
          </w:p>
        </w:tc>
        <w:tc>
          <w:tcPr>
            <w:tcW w:type="dxa" w:w="8554"/>
            <w:shd w:val="clear" w:color="auto" w:fill="123B4F"/>
            <w:tcMar>
              <w:top w:w="60" w:type="dxa"/>
              <w:bottom w:w="60" w:type="dxa"/>
              <w:start w:w="110" w:type="dxa"/>
              <w:end w:w="110" w:type="dxa"/>
            </w:tcMar>
          </w:tcPr>
          <w:p>
            <w:pPr>
              <w:spacing w:after="0"/>
            </w:pPr>
            <w:r>
              <w:rPr>
                <w:rFonts w:ascii="Calibri" w:hAnsi="Calibri"/>
                <w:b/>
                <w:i w:val="0"/>
                <w:color w:val="FFFFFF"/>
                <w:sz w:val="17"/>
              </w:rPr>
              <w:t>Fact</w:t>
            </w:r>
          </w:p>
        </w:tc>
      </w:tr>
      <w:tr>
        <w:tc>
          <w:tcPr>
            <w:tcW w:type="dxa" w:w="950"/>
            <w:tcMar>
              <w:top w:w="60" w:type="dxa"/>
              <w:bottom w:w="60" w:type="dxa"/>
              <w:start w:w="110" w:type="dxa"/>
              <w:end w:w="110" w:type="dxa"/>
            </w:tcMar>
          </w:tcPr>
          <w:p>
            <w:r>
              <w:t xml:space="preserve"> </w:t>
            </w:r>
          </w:p>
        </w:tc>
        <w:tc>
          <w:tcPr>
            <w:tcW w:type="dxa" w:w="8554"/>
            <w:tcMar>
              <w:top w:w="60" w:type="dxa"/>
              <w:bottom w:w="60" w:type="dxa"/>
              <w:start w:w="110" w:type="dxa"/>
              <w:end w:w="110" w:type="dxa"/>
            </w:tcMar>
          </w:tcPr>
          <w:p>
            <w:r>
              <w:t xml:space="preserve"> </w:t>
            </w:r>
          </w:p>
        </w:tc>
      </w:tr>
      <w:tr>
        <w:tc>
          <w:tcPr>
            <w:tcW w:type="dxa" w:w="950"/>
            <w:tcMar>
              <w:top w:w="60" w:type="dxa"/>
              <w:bottom w:w="60" w:type="dxa"/>
              <w:start w:w="110" w:type="dxa"/>
              <w:end w:w="110" w:type="dxa"/>
            </w:tcMar>
            <w:shd w:val="clear" w:color="auto" w:fill="F2F6F8"/>
          </w:tcPr>
          <w:p>
            <w:r>
              <w:t xml:space="preserve"> </w:t>
            </w:r>
          </w:p>
        </w:tc>
        <w:tc>
          <w:tcPr>
            <w:tcW w:type="dxa" w:w="8554"/>
            <w:tcMar>
              <w:top w:w="60" w:type="dxa"/>
              <w:bottom w:w="60" w:type="dxa"/>
              <w:start w:w="110" w:type="dxa"/>
              <w:end w:w="110" w:type="dxa"/>
            </w:tcMar>
            <w:shd w:val="clear" w:color="auto" w:fill="F2F6F8"/>
          </w:tcPr>
          <w:p>
            <w:r>
              <w:t xml:space="preserve"> </w:t>
            </w:r>
          </w:p>
        </w:tc>
      </w:tr>
      <w:tr>
        <w:tc>
          <w:tcPr>
            <w:tcW w:type="dxa" w:w="950"/>
            <w:tcMar>
              <w:top w:w="60" w:type="dxa"/>
              <w:bottom w:w="60" w:type="dxa"/>
              <w:start w:w="110" w:type="dxa"/>
              <w:end w:w="110" w:type="dxa"/>
            </w:tcMar>
          </w:tcPr>
          <w:p>
            <w:r>
              <w:t xml:space="preserve"> </w:t>
            </w:r>
          </w:p>
        </w:tc>
        <w:tc>
          <w:tcPr>
            <w:tcW w:type="dxa" w:w="8554"/>
            <w:tcMar>
              <w:top w:w="60" w:type="dxa"/>
              <w:bottom w:w="60" w:type="dxa"/>
              <w:start w:w="110" w:type="dxa"/>
              <w:end w:w="110" w:type="dxa"/>
            </w:tcMar>
          </w:tcPr>
          <w:p>
            <w:r>
              <w:t xml:space="preserve"> </w:t>
            </w:r>
          </w:p>
        </w:tc>
      </w:tr>
      <w:tr>
        <w:tc>
          <w:tcPr>
            <w:tcW w:type="dxa" w:w="950"/>
            <w:tcMar>
              <w:top w:w="60" w:type="dxa"/>
              <w:bottom w:w="60" w:type="dxa"/>
              <w:start w:w="110" w:type="dxa"/>
              <w:end w:w="110" w:type="dxa"/>
            </w:tcMar>
            <w:shd w:val="clear" w:color="auto" w:fill="F2F6F8"/>
          </w:tcPr>
          <w:p>
            <w:r>
              <w:t xml:space="preserve"> </w:t>
            </w:r>
          </w:p>
        </w:tc>
        <w:tc>
          <w:tcPr>
            <w:tcW w:type="dxa" w:w="8554"/>
            <w:tcMar>
              <w:top w:w="60" w:type="dxa"/>
              <w:bottom w:w="60" w:type="dxa"/>
              <w:start w:w="110" w:type="dxa"/>
              <w:end w:w="110" w:type="dxa"/>
            </w:tcMar>
            <w:shd w:val="clear" w:color="auto" w:fill="F2F6F8"/>
          </w:tcPr>
          <w:p>
            <w:r>
              <w:t xml:space="preserve"> </w:t>
            </w:r>
          </w:p>
        </w:tc>
      </w:tr>
      <w:tr>
        <w:tc>
          <w:tcPr>
            <w:tcW w:type="dxa" w:w="950"/>
            <w:tcMar>
              <w:top w:w="60" w:type="dxa"/>
              <w:bottom w:w="60" w:type="dxa"/>
              <w:start w:w="110" w:type="dxa"/>
              <w:end w:w="110" w:type="dxa"/>
            </w:tcMar>
          </w:tcPr>
          <w:p>
            <w:r>
              <w:t xml:space="preserve"> </w:t>
            </w:r>
          </w:p>
        </w:tc>
        <w:tc>
          <w:tcPr>
            <w:tcW w:type="dxa" w:w="855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THE LOAN &amp; DEFAULT / DISPUTE</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c>
          <w:tcPr>
            <w:tcW w:type="dxa" w:w="4752"/>
            <w:shd w:val="clear" w:color="auto" w:fill="123B4F"/>
            <w:tcMar>
              <w:top w:w="60" w:type="dxa"/>
              <w:bottom w:w="60" w:type="dxa"/>
              <w:start w:w="110" w:type="dxa"/>
              <w:end w:w="110" w:type="dxa"/>
            </w:tcMar>
          </w:tcPr>
          <w:p>
            <w:pPr>
              <w:spacing w:after="0"/>
            </w:pPr>
            <w:r>
              <w:rPr>
                <w:rFonts w:ascii="Calibri" w:hAnsi="Calibri"/>
                <w:b/>
                <w:i w:val="0"/>
                <w:color w:val="FFFFFF"/>
                <w:sz w:val="17"/>
              </w:rPr>
              <w:t>Term relied upon</w:t>
            </w:r>
          </w:p>
        </w:tc>
        <w:tc>
          <w:tcPr>
            <w:tcW w:type="dxa" w:w="4752"/>
            <w:shd w:val="clear" w:color="auto" w:fill="123B4F"/>
            <w:tcMar>
              <w:top w:w="60" w:type="dxa"/>
              <w:bottom w:w="60" w:type="dxa"/>
              <w:start w:w="110" w:type="dxa"/>
              <w:end w:w="110" w:type="dxa"/>
            </w:tcMar>
          </w:tcPr>
          <w:p>
            <w:pPr>
              <w:spacing w:after="0"/>
            </w:pPr>
            <w:r>
              <w:rPr>
                <w:rFonts w:ascii="Calibri" w:hAnsi="Calibri"/>
                <w:b/>
                <w:i w:val="0"/>
                <w:color w:val="FFFFFF"/>
                <w:sz w:val="17"/>
              </w:rPr>
              <w:t>Breach / dispute</w:t>
            </w:r>
          </w:p>
        </w:tc>
      </w:tr>
      <w:tr>
        <w:tc>
          <w:tcPr>
            <w:tcW w:type="dxa" w:w="4752"/>
            <w:tcMar>
              <w:top w:w="60" w:type="dxa"/>
              <w:bottom w:w="60" w:type="dxa"/>
              <w:start w:w="110" w:type="dxa"/>
              <w:end w:w="110" w:type="dxa"/>
            </w:tcMar>
          </w:tcPr>
          <w:p>
            <w:r>
              <w:t xml:space="preserve"> </w:t>
            </w:r>
          </w:p>
        </w:tc>
        <w:tc>
          <w:tcPr>
            <w:tcW w:type="dxa" w:w="4752"/>
            <w:tcMar>
              <w:top w:w="60" w:type="dxa"/>
              <w:bottom w:w="60" w:type="dxa"/>
              <w:start w:w="110" w:type="dxa"/>
              <w:end w:w="110" w:type="dxa"/>
            </w:tcMar>
          </w:tcPr>
          <w:p>
            <w:r>
              <w:t xml:space="preserve"> </w:t>
            </w:r>
          </w:p>
        </w:tc>
      </w:tr>
      <w:tr>
        <w:tc>
          <w:tcPr>
            <w:tcW w:type="dxa" w:w="4752"/>
            <w:tcMar>
              <w:top w:w="60" w:type="dxa"/>
              <w:bottom w:w="60" w:type="dxa"/>
              <w:start w:w="110" w:type="dxa"/>
              <w:end w:w="110" w:type="dxa"/>
            </w:tcMar>
            <w:shd w:val="clear" w:color="auto" w:fill="F2F6F8"/>
          </w:tcPr>
          <w:p>
            <w:r>
              <w:t xml:space="preserve"> </w:t>
            </w:r>
          </w:p>
        </w:tc>
        <w:tc>
          <w:tcPr>
            <w:tcW w:type="dxa" w:w="4752"/>
            <w:tcMar>
              <w:top w:w="60" w:type="dxa"/>
              <w:bottom w:w="60" w:type="dxa"/>
              <w:start w:w="110" w:type="dxa"/>
              <w:end w:w="110" w:type="dxa"/>
            </w:tcMar>
            <w:shd w:val="clear" w:color="auto" w:fill="F2F6F8"/>
          </w:tcPr>
          <w:p>
            <w:r>
              <w:t xml:space="preserve"> </w:t>
            </w:r>
          </w:p>
        </w:tc>
      </w:tr>
      <w:tr>
        <w:tc>
          <w:tcPr>
            <w:tcW w:type="dxa" w:w="4752"/>
            <w:tcMar>
              <w:top w:w="60" w:type="dxa"/>
              <w:bottom w:w="60" w:type="dxa"/>
              <w:start w:w="110" w:type="dxa"/>
              <w:end w:w="110" w:type="dxa"/>
            </w:tcMar>
          </w:tcPr>
          <w:p>
            <w:r>
              <w:t xml:space="preserve"> </w:t>
            </w:r>
          </w:p>
        </w:tc>
        <w:tc>
          <w:tcPr>
            <w:tcW w:type="dxa" w:w="4752"/>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RELIEF &amp; AMOUNT</w:t>
            </w:r>
          </w:p>
        </w:tc>
      </w:tr>
    </w:tbl>
    <w:p>
      <w:pPr>
        <w:spacing w:after="20"/>
      </w:pPr>
    </w:p>
    <w:p>
      <w:pPr>
        <w:spacing w:after="20"/>
      </w:pPr>
      <w:r>
        <w:rPr>
          <w:rFonts w:ascii="Calibri" w:hAnsi="Calibri"/>
          <w:b/>
          <w:i w:val="0"/>
          <w:color w:val="123B4F"/>
          <w:sz w:val="18"/>
        </w:rPr>
        <w:t>Relief:</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One-time settlement / waiver</w:t>
            </w:r>
          </w:p>
        </w:tc>
        <w:tc>
          <w:tcPr>
            <w:tcW w:type="dxa" w:w="4752"/>
            <w:tcMar>
              <w:top w:w="16" w:type="dxa"/>
              <w:bottom w:w="16" w:type="dxa"/>
              <w:start w:w="30" w:type="dxa"/>
              <w:end w:w="70" w:type="dxa"/>
            </w:tcMar>
          </w:tcPr>
          <w:p>
            <w:pPr>
              <w:spacing w:after="0"/>
            </w:pPr>
            <w:r>
              <w:rPr>
                <w:rFonts w:ascii="Calibri" w:hAnsi="Calibri"/>
                <w:b w:val="0"/>
                <w:i w:val="0"/>
                <w:color w:val="1B2A32"/>
                <w:sz w:val="18"/>
              </w:rPr>
              <w:t>☐  Refund of wrong charges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Stop harassment</w:t>
            </w:r>
          </w:p>
        </w:tc>
        <w:tc>
          <w:tcPr>
            <w:tcW w:type="dxa" w:w="4752"/>
            <w:tcMar>
              <w:top w:w="16" w:type="dxa"/>
              <w:bottom w:w="16" w:type="dxa"/>
              <w:start w:w="30" w:type="dxa"/>
              <w:end w:w="70" w:type="dxa"/>
            </w:tcMar>
          </w:tcPr>
          <w:p>
            <w:pPr>
              <w:spacing w:after="0"/>
            </w:pPr>
            <w:r>
              <w:rPr>
                <w:rFonts w:ascii="Calibri" w:hAnsi="Calibri"/>
                <w:b w:val="0"/>
                <w:i w:val="0"/>
                <w:color w:val="1B2A32"/>
                <w:sz w:val="18"/>
              </w:rPr>
              <w:t>☐  Credit-bureau correction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Loan restructuring</w:t>
            </w:r>
          </w:p>
        </w:tc>
        <w:tc>
          <w:tcPr>
            <w:tcW w:type="dxa" w:w="4752"/>
            <w:tcMar>
              <w:top w:w="16" w:type="dxa"/>
              <w:bottom w:w="16" w:type="dxa"/>
              <w:start w:w="30" w:type="dxa"/>
              <w:end w:w="70" w:type="dxa"/>
            </w:tcMar>
          </w:tcPr>
          <w:p>
            <w:pPr>
              <w:spacing w:after="0"/>
            </w:pPr>
            <w:r>
              <w:rPr>
                <w:rFonts w:ascii="Calibri" w:hAnsi="Calibri"/>
                <w:b w:val="0"/>
                <w:i w:val="0"/>
                <w:color w:val="1B2A32"/>
                <w:sz w:val="18"/>
              </w:rPr>
              <w:t>☐  Recovery of amount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Return of security / documents</w:t>
            </w:r>
          </w:p>
        </w:tc>
        <w:tc>
          <w:tcPr>
            <w:tcW w:type="dxa" w:w="4752"/>
            <w:tcMar>
              <w:top w:w="16" w:type="dxa"/>
              <w:bottom w:w="16" w:type="dxa"/>
              <w:start w:w="30" w:type="dxa"/>
              <w:end w:w="70" w:type="dxa"/>
            </w:tcMar>
          </w:tcPr>
          <w:p>
            <w:pPr>
              <w:spacing w:after="0"/>
            </w:pPr>
            <w:r>
              <w:rPr>
                <w:rFonts w:ascii="Calibri" w:hAnsi="Calibri"/>
                <w:b w:val="0"/>
                <w:i w:val="0"/>
                <w:color w:val="1B2A32"/>
                <w:sz w:val="18"/>
              </w:rPr>
              <w:t>☐  No-Dues / NOC</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Compounding of cheque case</w:t>
            </w:r>
          </w:p>
        </w:tc>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claimed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Interest claimed (rate / basis)</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May be prepared with AI assistance — a draft for your review, not legal advice.</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facts are true to the best of our knowledge and belief.</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Claimant / Counsel</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Lok Adalat Referral / Joint Compromise Memo</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F-L14</w:t>
            </w:r>
          </w:p>
        </w:tc>
      </w:tr>
    </w:tbl>
    <w:p>
      <w:pPr>
        <w:spacing w:after="80"/>
      </w:pPr>
      <w:r>
        <w:rPr>
          <w:rFonts w:ascii="Calibri" w:hAnsi="Calibri"/>
          <w:b w:val="0"/>
          <w:i/>
          <w:color w:val="556168"/>
          <w:sz w:val="18"/>
        </w:rPr>
        <w:t>To record a settlement in a Lok Adalat (award = civil-court decree).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Court case / reference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Parties</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JOINT COMPROMISE</w:t>
            </w:r>
          </w:p>
        </w:tc>
      </w:tr>
    </w:tbl>
    <w:p>
      <w:pPr>
        <w:spacing w:after="20"/>
      </w:pPr>
    </w:p>
    <w:p>
      <w:pPr>
        <w:spacing w:after="80"/>
        <w:jc w:val="both"/>
      </w:pPr>
      <w:r>
        <w:rPr>
          <w:rFonts w:ascii="Calibri" w:hAnsi="Calibri"/>
          <w:b w:val="0"/>
          <w:i w:val="0"/>
          <w:color w:val="1B2A32"/>
          <w:sz w:val="19"/>
        </w:rPr>
        <w:t>The parties have amicably settled and jointly request that the settlement be recorded in the Lok Adalat, the award of which shall be a decree of the civil court, final and binding.</w:t>
      </w: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Agreed terms (summary)</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settlement is voluntary; we consent to its recording in the Lok Adalat.</w:t>
      </w:r>
    </w:p>
    <w:p>
      <w:pPr>
        <w:spacing w:after="40"/>
        <w:jc w:val="both"/>
      </w:pPr>
      <w:r>
        <w:rPr>
          <w:rFonts w:ascii="Calibri" w:hAnsi="Calibri"/>
          <w:b w:val="0"/>
          <w:i w:val="0"/>
          <w:color w:val="1B2A32"/>
          <w:sz w:val="18"/>
        </w:rPr>
        <w:t xml:space="preserve">☐  </w:t>
      </w:r>
      <w:r>
        <w:rPr>
          <w:rFonts w:ascii="Calibri" w:hAnsi="Calibri"/>
          <w:b w:val="0"/>
          <w:i w:val="0"/>
          <w:color w:val="1B2A32"/>
          <w:sz w:val="18"/>
        </w:rPr>
        <w:t>Escrow releases the settlement amount on the award.</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1</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2</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Enforcement &amp; No-Dues / NOC Checklist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F-L15</w:t>
            </w:r>
          </w:p>
        </w:tc>
      </w:tr>
    </w:tbl>
    <w:p>
      <w:pPr>
        <w:spacing w:after="80"/>
      </w:pPr>
      <w:r>
        <w:rPr>
          <w:rFonts w:ascii="Calibri" w:hAnsi="Calibri"/>
          <w:b w:val="0"/>
          <w:i/>
          <w:color w:val="556168"/>
          <w:sz w:val="18"/>
        </w:rPr>
        <w:t>Steps to close the matter and release escrow.</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Outcome (OTS / MSA / Lok Adalat / award)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CHECKLIST</w:t>
            </w:r>
          </w:p>
        </w:tc>
      </w:tr>
    </w:tbl>
    <w:p>
      <w:pPr>
        <w:spacing w:after="20"/>
      </w:pPr>
    </w:p>
    <w:p>
      <w:pPr>
        <w:spacing w:after="20"/>
      </w:pPr>
      <w:r>
        <w:rPr>
          <w:rFonts w:ascii="Calibri" w:hAnsi="Calibri"/>
          <w:b/>
          <w:i w:val="0"/>
          <w:color w:val="123B4F"/>
          <w:sz w:val="18"/>
        </w:rPr>
        <w:t>Confirm:</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Settlement amount received in escrow</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No-Dues / NOC issued by the lender</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Original documents / security returned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Dishonoured cheque returned (if any)</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Credit bureau updated (settled/closed)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MSA registered / Lok Adalat award / compounding order obtained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Escrow released to the lender</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Case closed</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Case Closure Report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F-L16</w:t>
            </w:r>
          </w:p>
        </w:tc>
      </w:tr>
    </w:tbl>
    <w:p>
      <w:pPr>
        <w:spacing w:after="80"/>
      </w:pPr>
      <w:r>
        <w:rPr>
          <w:rFonts w:ascii="Calibri" w:hAnsi="Calibri"/>
          <w:b w:val="0"/>
          <w:i/>
          <w:color w:val="556168"/>
          <w:sz w:val="18"/>
        </w:rPr>
        <w:t>Records the outcome and closes the file.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Parties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Neutral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Outcome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p>
      <w:pPr>
        <w:spacing w:after="20"/>
      </w:pPr>
      <w:r>
        <w:rPr>
          <w:rFonts w:ascii="Calibri" w:hAnsi="Calibri"/>
          <w:b/>
          <w:i w:val="0"/>
          <w:color w:val="123B4F"/>
          <w:sz w:val="18"/>
        </w:rPr>
        <w:t>Result: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Settled (OTS / MSA)</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Cheque case compounded / Lok Adalat</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Arbitral award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Referred to special forum (DRT/Ombudsman)</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Not settled / report issued</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Summary (no confidential content disclosed)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Next steps</w:t>
            </w:r>
          </w:p>
        </w:tc>
        <w:tc>
          <w:tcPr>
            <w:tcW w:type="dxa" w:w="6273"/>
            <w:tcMar>
              <w:top w:w="60" w:type="dxa"/>
              <w:bottom w:w="60" w:type="dxa"/>
              <w:start w:w="110" w:type="dxa"/>
              <w:end w:w="110" w:type="dxa"/>
            </w:tcMar>
          </w:tcPr>
          <w:p>
            <w:pPr>
              <w:spacing w:after="0"/>
            </w:pP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Neutral</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Agreement to Mediate &amp; Confidentiality</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F-L17</w:t>
            </w:r>
          </w:p>
        </w:tc>
      </w:tr>
    </w:tbl>
    <w:p>
      <w:pPr>
        <w:spacing w:after="80"/>
      </w:pPr>
      <w:r>
        <w:rPr>
          <w:rFonts w:ascii="Calibri" w:hAnsi="Calibri"/>
          <w:b w:val="0"/>
          <w:i/>
          <w:color w:val="556168"/>
          <w:sz w:val="18"/>
        </w:rPr>
        <w:t>Signed before the first session.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1</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2</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Mediator</w:t>
            </w:r>
          </w:p>
        </w:tc>
        <w:tc>
          <w:tcPr>
            <w:tcW w:type="dxa" w:w="6273"/>
            <w:tcMar>
              <w:top w:w="60" w:type="dxa"/>
              <w:bottom w:w="60" w:type="dxa"/>
              <w:start w:w="110" w:type="dxa"/>
              <w:end w:w="110" w:type="dxa"/>
            </w:tcMar>
          </w:tcPr>
          <w:p>
            <w:pPr>
              <w:spacing w:after="0"/>
            </w:pPr>
          </w:p>
        </w:tc>
      </w:tr>
    </w:tbl>
    <w:p>
      <w:pPr>
        <w:spacing w:after="40"/>
      </w:pPr>
    </w:p>
    <w:p>
      <w:pPr>
        <w:spacing w:after="80"/>
        <w:jc w:val="both"/>
      </w:pPr>
      <w:r>
        <w:rPr>
          <w:rFonts w:ascii="Calibri" w:hAnsi="Calibri"/>
          <w:b/>
          <w:i w:val="0"/>
          <w:color w:val="1B2A32"/>
          <w:sz w:val="19"/>
        </w:rPr>
        <w:t>1.</w:t>
      </w:r>
      <w:r>
        <w:rPr>
          <w:rFonts w:ascii="Calibri" w:hAnsi="Calibri"/>
          <w:b w:val="0"/>
          <w:i w:val="0"/>
          <w:color w:val="1B2A32"/>
          <w:sz w:val="19"/>
        </w:rPr>
        <w:t xml:space="preserve"> The parties appoint the mediator, through Equator as MSP, to mediate the loan/financial dispute under the Mediation Act, 2023.</w:t>
      </w:r>
    </w:p>
    <w:p>
      <w:pPr>
        <w:spacing w:after="80"/>
        <w:jc w:val="both"/>
      </w:pPr>
      <w:r>
        <w:rPr>
          <w:rFonts w:ascii="Calibri" w:hAnsi="Calibri"/>
          <w:b/>
          <w:i w:val="0"/>
          <w:color w:val="1B2A32"/>
          <w:sz w:val="19"/>
        </w:rPr>
        <w:t>2.</w:t>
      </w:r>
      <w:r>
        <w:rPr>
          <w:rFonts w:ascii="Calibri" w:hAnsi="Calibri"/>
          <w:b w:val="0"/>
          <w:i w:val="0"/>
          <w:color w:val="1B2A32"/>
          <w:sz w:val="19"/>
        </w:rPr>
        <w:t xml:space="preserve"> Participation is voluntary; either party or the mediator may terminate at any time.</w:t>
      </w:r>
    </w:p>
    <w:p>
      <w:pPr>
        <w:spacing w:after="80"/>
        <w:jc w:val="both"/>
      </w:pPr>
      <w:r>
        <w:rPr>
          <w:rFonts w:ascii="Calibri" w:hAnsi="Calibri"/>
          <w:b/>
          <w:i w:val="0"/>
          <w:color w:val="1B2A32"/>
          <w:sz w:val="19"/>
        </w:rPr>
        <w:t>3.</w:t>
      </w:r>
      <w:r>
        <w:rPr>
          <w:rFonts w:ascii="Calibri" w:hAnsi="Calibri"/>
          <w:b w:val="0"/>
          <w:i w:val="0"/>
          <w:color w:val="1B2A32"/>
          <w:sz w:val="19"/>
        </w:rPr>
        <w:t xml:space="preserve"> All communications are confidential and without prejudice and are not admissible in any court/forum, save as the law requires.</w:t>
      </w:r>
    </w:p>
    <w:p>
      <w:pPr>
        <w:spacing w:after="80"/>
        <w:jc w:val="both"/>
      </w:pPr>
      <w:r>
        <w:rPr>
          <w:rFonts w:ascii="Calibri" w:hAnsi="Calibri"/>
          <w:b/>
          <w:i w:val="0"/>
          <w:color w:val="1B2A32"/>
          <w:sz w:val="19"/>
        </w:rPr>
        <w:t>4.</w:t>
      </w:r>
      <w:r>
        <w:rPr>
          <w:rFonts w:ascii="Calibri" w:hAnsi="Calibri"/>
          <w:b w:val="0"/>
          <w:i w:val="0"/>
          <w:color w:val="1B2A32"/>
          <w:sz w:val="19"/>
        </w:rPr>
        <w:t xml:space="preserve"> The mediator is neutral, gives no legal advice, and does not decide the dispute; the borrower is protected from coercion.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We agree to the terms and will participate in good faith.</w:t>
      </w:r>
    </w:p>
    <w:p>
      <w:pPr>
        <w:spacing w:after="40"/>
        <w:jc w:val="both"/>
      </w:pPr>
      <w:r>
        <w:rPr>
          <w:rFonts w:ascii="Calibri" w:hAnsi="Calibri"/>
          <w:b w:val="0"/>
          <w:i w:val="0"/>
          <w:color w:val="1B2A32"/>
          <w:sz w:val="18"/>
        </w:rPr>
        <w:t xml:space="preserve">☐  </w:t>
      </w:r>
      <w:r>
        <w:rPr>
          <w:rFonts w:ascii="Calibri" w:hAnsi="Calibri"/>
          <w:b w:val="0"/>
          <w:i w:val="0"/>
          <w:color w:val="1B2A32"/>
          <w:sz w:val="18"/>
        </w:rPr>
        <w:t>We understand a signed, registered settlement is enforceable as a decree.</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1</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2</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Mediator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Costs &amp; Fee Statement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F-L18</w:t>
            </w:r>
          </w:p>
        </w:tc>
      </w:tr>
    </w:tbl>
    <w:p>
      <w:pPr>
        <w:spacing w:after="80"/>
      </w:pPr>
      <w:r>
        <w:rPr>
          <w:rFonts w:ascii="Calibri" w:hAnsi="Calibri"/>
          <w:b w:val="0"/>
          <w:i/>
          <w:color w:val="556168"/>
          <w:sz w:val="18"/>
        </w:rPr>
        <w:t>Records fees payable.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Invoice / statement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in dispute (₹)</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PARTICULARS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c>
          <w:tcPr>
            <w:tcW w:type="dxa" w:w="4372"/>
            <w:shd w:val="clear" w:color="auto" w:fill="123B4F"/>
            <w:tcMar>
              <w:top w:w="60" w:type="dxa"/>
              <w:bottom w:w="60" w:type="dxa"/>
              <w:start w:w="110" w:type="dxa"/>
              <w:end w:w="110" w:type="dxa"/>
            </w:tcMar>
          </w:tcPr>
          <w:p>
            <w:pPr>
              <w:spacing w:after="0"/>
            </w:pPr>
            <w:r>
              <w:rPr>
                <w:rFonts w:ascii="Calibri" w:hAnsi="Calibri"/>
                <w:b/>
                <w:i w:val="0"/>
                <w:color w:val="FFFFFF"/>
                <w:sz w:val="17"/>
              </w:rPr>
              <w:t>Particulars</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7"/>
              </w:rPr>
              <w:t>Basis</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7"/>
              </w:rPr>
              <w:t>Amount (₹)</w:t>
            </w:r>
          </w:p>
        </w:tc>
      </w:tr>
      <w:tr>
        <w:tc>
          <w:tcPr>
            <w:tcW w:type="dxa" w:w="4372"/>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r>
      <w:tr>
        <w:tc>
          <w:tcPr>
            <w:tcW w:type="dxa" w:w="4372"/>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c>
          <w:tcPr>
            <w:tcW w:type="dxa" w:w="2661"/>
            <w:tcMar>
              <w:top w:w="60" w:type="dxa"/>
              <w:bottom w:w="60" w:type="dxa"/>
              <w:start w:w="110" w:type="dxa"/>
              <w:end w:w="110" w:type="dxa"/>
            </w:tcMar>
            <w:shd w:val="clear" w:color="auto" w:fill="F2F6F8"/>
          </w:tcPr>
          <w:p>
            <w:r>
              <w:t xml:space="preserve"> </w:t>
            </w:r>
          </w:p>
        </w:tc>
      </w:tr>
      <w:tr>
        <w:tc>
          <w:tcPr>
            <w:tcW w:type="dxa" w:w="4372"/>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r>
      <w:tr>
        <w:tc>
          <w:tcPr>
            <w:tcW w:type="dxa" w:w="4372"/>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c>
          <w:tcPr>
            <w:tcW w:type="dxa" w:w="2661"/>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Registration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Mediation / neutral fee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Escrow / misc.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Taxes (GST)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Total (₹)</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Concessional fees apply to small-value and consumer matters.</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Authorised signatory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Model Loan-Agreement ADR Clause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F-L19</w:t>
            </w:r>
          </w:p>
        </w:tc>
      </w:tr>
    </w:tbl>
    <w:p>
      <w:pPr>
        <w:spacing w:after="80"/>
      </w:pPr>
      <w:r>
        <w:rPr>
          <w:rFonts w:ascii="Calibri" w:hAnsi="Calibri"/>
          <w:b w:val="0"/>
          <w:i/>
          <w:color w:val="556168"/>
          <w:sz w:val="18"/>
        </w:rPr>
        <w:t>Drop-in clause to name Equator in loan agreements (see Annexure E for variants).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RECOMMENDED CLAUSE</w:t>
            </w:r>
          </w:p>
        </w:tc>
      </w:tr>
    </w:tbl>
    <w:p>
      <w:pPr>
        <w:spacing w:after="20"/>
      </w:pPr>
    </w:p>
    <w:p>
      <w:pPr>
        <w:spacing w:after="80"/>
        <w:jc w:val="both"/>
      </w:pPr>
      <w:r>
        <w:rPr>
          <w:rFonts w:ascii="Calibri" w:hAnsi="Calibri"/>
          <w:b w:val="0"/>
          <w:i w:val="0"/>
          <w:color w:val="1B2A32"/>
          <w:sz w:val="19"/>
        </w:rPr>
        <w:t>“Any dispute under this loan agreement shall first be referred to mediation/conciliation administered by Equator Resolution under its Rules; any dispute not settled within [30] days shall be finally resolved by arbitration administered by Equator under the Equator Rules of Arbitration (seat [city]). Nothing in this clause affects the Lender's rights under the SARFAESI Act, 2002 or before the Debts Recovery Tribunal, or the borrower's right to approach the RBI Ombudsman.”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COMPLETE THE VARIABLES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Seat / venue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Mediation window (days)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Governing law</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Escrow required? (Y/N)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Confirm arbitrability and the SARFAESI/DRT saving with counsel; borrower protections cannot be contracted away.</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Application for Time Extension</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F-L20</w:t>
            </w:r>
          </w:p>
        </w:tc>
      </w:tr>
    </w:tbl>
    <w:p>
      <w:pPr>
        <w:spacing w:after="80"/>
      </w:pPr>
      <w:r>
        <w:rPr>
          <w:rFonts w:ascii="Calibri" w:hAnsi="Calibri"/>
          <w:b w:val="0"/>
          <w:i/>
          <w:color w:val="556168"/>
          <w:sz w:val="18"/>
        </w:rPr>
        <w:t>To extend the mediation/proceeding by consent.</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1</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2</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Current expiry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Extension sought (days)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New target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REASON</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Reason</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Both parties consent to the extension stated, within the limits of the applicable law.</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1</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2</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Neutral</w:t>
            </w:r>
          </w:p>
          <w:p>
            <w:pPr>
              <w:spacing w:after="0"/>
            </w:pPr>
            <w:r>
              <w:rPr>
                <w:rFonts w:ascii="Calibri" w:hAnsi="Calibri"/>
                <w:b w:val="0"/>
                <w:i/>
                <w:color w:val="556168"/>
                <w:sz w:val="14"/>
              </w:rPr>
              <w:t>Name / Signature / Date</w:t>
            </w:r>
          </w:p>
        </w:tc>
      </w:tr>
    </w:tbl>
    <w:p>
      <w:pPr>
        <w:spacing w:after="40"/>
      </w:pPr>
    </w:p>
    <w:sectPr w:rsidR="00FC693F" w:rsidRPr="0006063C" w:rsidSect="00034616">
      <w:headerReference w:type="default" r:id="rId18"/>
      <w:footerReference w:type="default" r:id="rId19"/>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6168"/>
        <w:sz w:val="16"/>
      </w:rPr>
    </w:r>
    <w:r>
      <w:rPr>
        <w:rFonts w:ascii="Calibri" w:hAnsi="Calibri"/>
        <w:b w:val="0"/>
        <w:i w:val="0"/>
        <w:color w:val="556168"/>
        <w:sz w:val="16"/>
      </w:rPr>
      <w:t xml:space="preserve">Confidential — Infrabyx Group  ·  © 2026  ·  Page </w:t>
    </w:r>
    <w:r>
      <w:rPr>
        <w:rFonts w:ascii="Calibri" w:hAnsi="Calibri"/>
        <w:b w:val="0"/>
        <w:i w:val="0"/>
        <w:color w:val="556168"/>
        <w:sz w:val="16"/>
      </w:rPr>
      <w:fldChar w:fldCharType="begin"/>
    </w:r>
    <w:r>
      <w:rPr>
        <w:rFonts w:ascii="Calibri" w:hAnsi="Calibri"/>
        <w:b w:val="0"/>
        <w:i w:val="0"/>
        <w:color w:val="556168"/>
        <w:sz w:val="16"/>
      </w:rPr>
      <w:instrText xml:space="preserve">PAGE</w:instrText>
    </w:r>
    <w:r>
      <w:rPr>
        <w:rFonts w:ascii="Calibri" w:hAnsi="Calibri"/>
        <w:b w:val="0"/>
        <w:i w:val="0"/>
        <w:color w:val="556168"/>
        <w:sz w:val="16"/>
      </w:rPr>
      <w:fldChar w:fldCharType="end"/>
    </w:r>
    <w:r>
      <w:rPr>
        <w:rFonts w:ascii="Calibri" w:hAnsi="Calibri"/>
        <w:b w:val="0"/>
        <w:i w:val="0"/>
        <w:color w:val="556168"/>
        <w:sz w:val="16"/>
      </w:rPr>
      <w:t xml:space="preserve"> of </w:t>
    </w:r>
    <w:r>
      <w:rPr>
        <w:rFonts w:ascii="Calibri" w:hAnsi="Calibri"/>
        <w:b w:val="0"/>
        <w:i w:val="0"/>
        <w:color w:val="556168"/>
        <w:sz w:val="16"/>
      </w:rPr>
      <w:fldChar w:fldCharType="begin"/>
    </w:r>
    <w:r>
      <w:rPr>
        <w:rFonts w:ascii="Calibri" w:hAnsi="Calibri"/>
        <w:b w:val="0"/>
        <w:i w:val="0"/>
        <w:color w:val="556168"/>
        <w:sz w:val="16"/>
      </w:rPr>
      <w:instrText xml:space="preserve">NUMPAGES</w:instrText>
    </w:r>
    <w:r>
      <w:rPr>
        <w:rFonts w:ascii="Calibri" w:hAnsi="Calibri"/>
        <w:b w:val="0"/>
        <w:i w:val="0"/>
        <w:color w:val="55616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Financial &amp; Loan Dispute Resolution — Master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0AC342C-A36A-4D15-B47E-4516A56BFB8E}"/>
</file>

<file path=customXml/itemProps3.xml><?xml version="1.0" encoding="utf-8"?>
<ds:datastoreItem xmlns:ds="http://schemas.openxmlformats.org/officeDocument/2006/customXml" ds:itemID="{636031D4-B9FC-45D7-8153-8F5BAE2A9305}"/>
</file>

<file path=customXml/itemProps4.xml><?xml version="1.0" encoding="utf-8"?>
<ds:datastoreItem xmlns:ds="http://schemas.openxmlformats.org/officeDocument/2006/customXml" ds:itemID="{62FB7DF4-1142-4DB6-915F-8901C751DC4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