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Request for Resolution (Loan Dispute)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Commences a loan dispute. Either the borrower or the lender may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THE DISPUTE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Dispute type(s):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Loan default &amp; recovery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One-time settlement (OTS)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Cheque bounce (NI-138)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Wrong / excess charges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Digital-lending grievance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Recovery-agent harassment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Mis-selling / unfair practice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Credit-bureau dispute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Guarantee / co-borrower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Co-lending / fintech partnership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Secured-debt recovery (bank/FI)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Loan type: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Personal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Vehicle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Home</w:t>
            </w:r>
          </w:p>
        </w:tc>
      </w:tr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Gold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Education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Business / MSME</w:t>
            </w:r>
          </w:p>
        </w:tc>
      </w:tr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Credit card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BNPL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Microfinance</w:t>
            </w:r>
          </w:p>
        </w:tc>
      </w:tr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P2P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Lender type: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NBFC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Housing Finance Co.</w:t>
            </w:r>
          </w:p>
        </w:tc>
      </w:tr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Fintech / LSP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Microfinance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P2P platform</w:t>
            </w:r>
          </w:p>
        </w:tc>
      </w:tr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Private lender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/ outstanding 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Is there an arbitration clause?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Is the loan secured?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Brief summary of the dispute (facts, dates)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THE PARTIES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 (individual / entity)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(Individual / Bank / NBFC / Fintech-LSP / Other)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 / CIN / GSTIN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account / reference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Other party (name &amp; contact)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RELIEF SOUGHT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One-time settlement / waiver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Refund of wrong charges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Stop harassment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Credit-bureau correction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Loan restructuring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Recovery of amount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security / documents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No-Dues / NOC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Compounding of cheque case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authorise Equator Resolution to administer this matter and to notify the other party.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a mediated settlement, once signed &amp; registered, is enforceable as a decree (s.27).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is true to the best of my knowledge.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If the matter is a SARFAESI/DRT recovery or a service-deficiency complaint, Equator will guide you to the correct forum (DRT / RBI Ombudsman) and may mediate any settlement in parallel.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F-L02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30BA87-A340-43F2-8B70-3250492280C9}"/>
</file>

<file path=customXml/itemProps3.xml><?xml version="1.0" encoding="utf-8"?>
<ds:datastoreItem xmlns:ds="http://schemas.openxmlformats.org/officeDocument/2006/customXml" ds:itemID="{306989E7-2FA0-4962-9336-E24D731CA2DF}"/>
</file>

<file path=customXml/itemProps4.xml><?xml version="1.0" encoding="utf-8"?>
<ds:datastoreItem xmlns:ds="http://schemas.openxmlformats.org/officeDocument/2006/customXml" ds:itemID="{431055AB-2BC6-4CB4-B5A9-0E529A5533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