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Notice to the Other Party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by Equator inviting the other party to participate.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Delivery channel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SUBJECT: INVITATION TO RESOLVE A LOAN DISPUTE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Equator Resolution has received a request to resolve a loan/financial dispute to which you are a party. The process is voluntary, confidential and time-bound; a mediated settlement is enforceable as a decree.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Brief nature of the dispute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Response due within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Please file your Response (Form F-L05) within 14 days. If we do not hear from you, a non-commencement report will be issued and the applicant may pursue other remedies.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Manager, 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F-L03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6CDEA2-BFED-4449-AD75-F1823127A497}"/>
</file>

<file path=customXml/itemProps3.xml><?xml version="1.0" encoding="utf-8"?>
<ds:datastoreItem xmlns:ds="http://schemas.openxmlformats.org/officeDocument/2006/customXml" ds:itemID="{BBFBD625-2CF6-42A9-885C-28CA6A0A6DF0}"/>
</file>

<file path=customXml/itemProps4.xml><?xml version="1.0" encoding="utf-8"?>
<ds:datastoreItem xmlns:ds="http://schemas.openxmlformats.org/officeDocument/2006/customXml" ds:itemID="{E66D0E41-8081-4306-AEA0-A0D9ABEB33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