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One-Time Settlement (OTS) Agreement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negotiated compromise closing the loan. Enforceable as a decree (s.27) on registration.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place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Borrower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Lender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account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SETTLEMENT TERMS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outstanding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Settlement 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Waiver of interest/penal charges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Payment mode &amp; schedule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account (see F-L11)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LENDER'S OBLIGATIONS ON PAYMENT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On receipt of the settlement amount, the Lender shall issue a </w:t>
      </w:r>
      <w:r>
        <w:rPr>
          <w:rFonts w:ascii="Calibri" w:hAnsi="Calibri"/>
          <w:b/>
          <w:i w:val="0"/>
          <w:color w:val="1B2A32"/>
          <w:sz w:val="18"/>
        </w:rPr>
        <w:t>No-Dues / NOC</w:t>
      </w:r>
      <w:r>
        <w:rPr>
          <w:rFonts w:ascii="Calibri" w:hAnsi="Calibri"/>
          <w:b w:val="0"/>
          <w:i w:val="0"/>
          <w:color w:val="1B2A32"/>
          <w:sz w:val="18"/>
        </w:rPr>
        <w:t xml:space="preserve"> and close the loan account.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Lender shall return the original documents / security and any dishonoured cheque.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Lender shall update the credit bureau to reflect the settled / closed status.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This is in </w:t>
      </w:r>
      <w:r>
        <w:rPr>
          <w:rFonts w:ascii="Calibri" w:hAnsi="Calibri"/>
          <w:b/>
          <w:i w:val="0"/>
          <w:color w:val="1B2A32"/>
          <w:sz w:val="18"/>
        </w:rPr>
        <w:t>full and final settlement</w:t>
      </w:r>
      <w:r>
        <w:rPr>
          <w:rFonts w:ascii="Calibri" w:hAnsi="Calibri"/>
          <w:b w:val="0"/>
          <w:i w:val="0"/>
          <w:color w:val="1B2A32"/>
          <w:sz w:val="18"/>
        </w:rPr>
        <w:t xml:space="preserve"> of the loan; the Lender waives any further claim.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GENERAL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This settlement is voluntary and without coercion. It is registered under the Mediation Act, 2023 (s.20) and is enforceable as a decree (s.27). Stamp: [e-stamp certificate no.].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Borrower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Lender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F-L07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63E3D7-377C-4152-A7DA-A747B0E4E79E}"/>
</file>

<file path=customXml/itemProps3.xml><?xml version="1.0" encoding="utf-8"?>
<ds:datastoreItem xmlns:ds="http://schemas.openxmlformats.org/officeDocument/2006/customXml" ds:itemID="{7AD287D4-7251-4F80-B173-24A4BEBE12DF}"/>
</file>

<file path=customXml/itemProps4.xml><?xml version="1.0" encoding="utf-8"?>
<ds:datastoreItem xmlns:ds="http://schemas.openxmlformats.org/officeDocument/2006/customXml" ds:itemID="{2CA4089B-1F2B-43CC-8475-83030EC6DB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