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F-L08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NI-138 Settlement &amp; Compounding Memorandum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settlement of a cheque-bounce matter and consent to compounding / Lok Adalat.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 (mediation)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Court case no. (s.138)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Complainant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Accused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Cheque no. &amp; amount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SETTLEMENT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The parties have settled the dishonoured-cheque dispute. On payment of ₹[…] through escrow, the Complainant has no objection to the closure of the criminal case.</w:t>
      </w: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Route: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Compounding under Section 147 NI Act (before the court)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Recording in a Lok Adalat (award = decree)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Complainant consents to compounding / the Lok Adalat settlement and will jointly move the court.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settlement is voluntary; graded compounding costs (Damodar Prabhu) are noted.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Escrow releases the payment on the court recording the settlement.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Complainant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Accused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Counsel (if any)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F-L08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692206-6035-4815-A964-49E2E55B085A}"/>
</file>

<file path=customXml/itemProps3.xml><?xml version="1.0" encoding="utf-8"?>
<ds:datastoreItem xmlns:ds="http://schemas.openxmlformats.org/officeDocument/2006/customXml" ds:itemID="{13AF4ACA-0436-4E74-8E63-4F002AD66288}"/>
</file>

<file path=customXml/itemProps4.xml><?xml version="1.0" encoding="utf-8"?>
<ds:datastoreItem xmlns:ds="http://schemas.openxmlformats.org/officeDocument/2006/customXml" ds:itemID="{8EFE8917-7993-44D5-BD7C-8CA265C41E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