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F-L09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Recovery-Agent Harassment Complaint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a borrower harassed by recovery agents. Escalates to the lender/RBI and preserves remedies.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Borrower name &amp; loan a/c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Lender / recovery agency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PARTICULARS OF HARASSMENT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Incidents (date, time, what happened, who)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Nature: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Threats / intimidation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Odd-hour / repeated calls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Contacting family / workplace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Abusive language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Public shaming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RELIEF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I seek: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Immediate stop to harassment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Escalation to the lender's grievance officer / RBI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Mediation of the underlying debt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Compensation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Recovery agents must comply with the RBI Fair Practices Code; harassment may attract civil and criminal liability. In an emergency, contact the police. Equator will mediate the debt while protecting you.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Borrower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F-L09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B49E82-ED89-4C03-9AB3-7B54338E5935}"/>
</file>

<file path=customXml/itemProps3.xml><?xml version="1.0" encoding="utf-8"?>
<ds:datastoreItem xmlns:ds="http://schemas.openxmlformats.org/officeDocument/2006/customXml" ds:itemID="{35C6D587-476B-4151-B182-81AC469D3114}"/>
</file>

<file path=customXml/itemProps4.xml><?xml version="1.0" encoding="utf-8"?>
<ds:datastoreItem xmlns:ds="http://schemas.openxmlformats.org/officeDocument/2006/customXml" ds:itemID="{01FAB4D5-E8F9-46C2-BE66-B44E65EF19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