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Digital-Lending Grievance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an app/online loan grievance under the RBI (Digital Lending) Directions, 2025.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Borrower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 / LSP &amp; Regulated Entity (RE)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/ reference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GRIEVANCE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Issue: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Hidden / excess charges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 Key Fact Statement (KFS)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 cooling-off honoured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Data misuse / access to contacts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Coercive recovery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Wrong credit reporting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Describe the issue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Nodal grievance officer contacted?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Response received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If unresolved within 30 days, escalate to the RBI Ombudsman (cms.rbi.org.in). Equator can mediate the charges / settlement.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Borrower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F-L10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3D0BEE-49C3-4BCE-BDFE-5C8D930E8116}"/>
</file>

<file path=customXml/itemProps3.xml><?xml version="1.0" encoding="utf-8"?>
<ds:datastoreItem xmlns:ds="http://schemas.openxmlformats.org/officeDocument/2006/customXml" ds:itemID="{13011A28-F834-4C59-9498-A9AFB48D0F6E}"/>
</file>

<file path=customXml/itemProps4.xml><?xml version="1.0" encoding="utf-8"?>
<ds:datastoreItem xmlns:ds="http://schemas.openxmlformats.org/officeDocument/2006/customXml" ds:itemID="{87AABA3C-8148-47E3-92FA-45DC95DF89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