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F-L11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Financial &amp; Loan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Escrow Instruction &amp; Release Schedule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Secures the settlement money; released against the No-Dues/NOC.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Payer (borrower)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Payee (lender)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Escrow agent / bank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Amount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RELEASE SCHEDULE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371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Tranche</w:t>
            </w:r>
          </w:p>
        </w:tc>
        <w:tc>
          <w:tcPr>
            <w:tcW w:type="dxa" w:w="1763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Amount (₹)</w:t>
            </w:r>
          </w:p>
        </w:tc>
        <w:tc>
          <w:tcPr>
            <w:tcW w:type="dxa" w:w="3917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Release trigger</w:t>
            </w:r>
          </w:p>
        </w:tc>
        <w:tc>
          <w:tcPr>
            <w:tcW w:type="dxa" w:w="274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137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391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74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371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391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74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137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391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74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371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391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74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Calibri" w:hAnsi="Calibri"/>
          <w:b w:val="0"/>
          <w:i w:val="0"/>
          <w:color w:val="1B2A32"/>
          <w:sz w:val="19"/>
        </w:rPr>
        <w:t xml:space="preserve">Release conditions: issuance of the </w:t>
      </w:r>
      <w:r>
        <w:rPr>
          <w:rFonts w:ascii="Calibri" w:hAnsi="Calibri"/>
          <w:b/>
          <w:i w:val="0"/>
          <w:color w:val="1B2A32"/>
          <w:sz w:val="19"/>
        </w:rPr>
        <w:t>No-Dues/NOC</w:t>
      </w:r>
      <w:r>
        <w:rPr>
          <w:rFonts w:ascii="Calibri" w:hAnsi="Calibri"/>
          <w:b w:val="0"/>
          <w:i w:val="0"/>
          <w:color w:val="1B2A32"/>
          <w:sz w:val="19"/>
        </w:rPr>
        <w:t>; return of original documents/security and any cheque; credit-bureau correction.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Fallback if a condition is not met by (date)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Escrow fees &amp; bearer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The payer deposits the sum to be released only on the stated conditions.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Both parties consent to the escrow agent acting on these instructions; KYC/PMLA applies.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Borrower (payer)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Lender (payee)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Escrow Officer (Equator)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F-L11  ·  Confidential  ·  This form takes legal effect subject to the Mediation Act, 2023, the RBI framework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7F52E65-96C2-45B8-B44D-6D8F800727CC}"/>
</file>

<file path=customXml/itemProps3.xml><?xml version="1.0" encoding="utf-8"?>
<ds:datastoreItem xmlns:ds="http://schemas.openxmlformats.org/officeDocument/2006/customXml" ds:itemID="{0AB5361B-F897-4760-A3FF-CAC3BD9FABA7}"/>
</file>

<file path=customXml/itemProps4.xml><?xml version="1.0" encoding="utf-8"?>
<ds:datastoreItem xmlns:ds="http://schemas.openxmlformats.org/officeDocument/2006/customXml" ds:itemID="{0A929F10-6D22-4820-8678-A90C0901557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