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F-L12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Financial &amp; Loan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Consent Award / Mediated Settlement Agreement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The settlement instrument — MSA (Mediation Act) or consent award (arbitration).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Case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 &amp; place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Party 1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Party 2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Neutral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AGREED TERMS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1. Settlement amount &amp; schedule (₹)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2. Waiver / adjustment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3. Security / documents / cheque return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4. No-Dues / NOC &amp; credit-bureau update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5. Escrow (see F-L11)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6. Full &amp; final settlement of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Calibri" w:hAnsi="Calibri"/>
          <w:b w:val="0"/>
          <w:i w:val="0"/>
          <w:color w:val="1B2A32"/>
          <w:sz w:val="19"/>
        </w:rPr>
        <w:t>Registered under the Mediation Act, 2023 (s.20) and enforceable as a decree (s.27); in arbitration, recorded as a consent award (s.30), enforceable as a decree (s.36).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Stamp / e-stamp certificate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Party 1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Party 2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Neutral (authenticating)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F-L12  ·  Confidential  ·  This form takes legal effect subject to the Mediation Act, 2023, the RBI framework and applicable law.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BD8D141-1D6A-449A-8DF1-5C59ED0CCD1E}"/>
</file>

<file path=customXml/itemProps3.xml><?xml version="1.0" encoding="utf-8"?>
<ds:datastoreItem xmlns:ds="http://schemas.openxmlformats.org/officeDocument/2006/customXml" ds:itemID="{8F1AE4C8-C7C7-4DD2-9C04-BB9877FC9BCA}"/>
</file>

<file path=customXml/itemProps4.xml><?xml version="1.0" encoding="utf-8"?>
<ds:datastoreItem xmlns:ds="http://schemas.openxmlformats.org/officeDocument/2006/customXml" ds:itemID="{7F5253EF-E378-45BA-B684-DD93C60DB99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