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F-L13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Financial &amp; Loan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Statement of Claim (Loan) — Arbitration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Where the loan agreement provides for arbitration. May be AI-assisted; review and have counsel settle.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Claimant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Respondent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1.  FACTS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979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No.</w:t>
            </w:r>
          </w:p>
        </w:tc>
        <w:tc>
          <w:tcPr>
            <w:tcW w:type="dxa" w:w="8813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Fact</w:t>
            </w:r>
          </w:p>
        </w:tc>
      </w:tr>
      <w:tr>
        <w:tc>
          <w:tcPr>
            <w:tcW w:type="dxa" w:w="97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881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881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881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881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881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2.  THE LOAN &amp; DEFAULT / DISPUTE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Term relied upon</w:t>
            </w:r>
          </w:p>
        </w:tc>
        <w:tc>
          <w:tcPr>
            <w:tcW w:type="dxa" w:w="4896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Breach / dispute</w:t>
            </w:r>
          </w:p>
        </w:tc>
      </w:tr>
      <w:tr>
        <w:tc>
          <w:tcPr>
            <w:tcW w:type="dxa" w:w="4896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4896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896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4896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4896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4896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3.  RELIEF &amp; AMOUNT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Relief: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One-time settlement / waiver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Refund of wrong charges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Stop harassment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Credit-bureau correction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Loan restructuring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Recovery of amount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Return of security / documents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No-Dues / NOC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Compounding of cheque case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Other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Amount claimed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Interest claimed (rate / basis)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May be prepared with AI assistance — a draft for your review, not legal advice.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The facts are true to the best of our knowledge and belief.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Claimant / Counsel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F-L13  ·  Confidential  ·  This form takes legal effect subject to the Mediation Act, 2023, the RBI framework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3B74999-7FB2-48F1-B9B5-43ACFFD1DF23}"/>
</file>

<file path=customXml/itemProps3.xml><?xml version="1.0" encoding="utf-8"?>
<ds:datastoreItem xmlns:ds="http://schemas.openxmlformats.org/officeDocument/2006/customXml" ds:itemID="{505E71EB-176E-44A0-8EBA-710FE60E54FC}"/>
</file>

<file path=customXml/itemProps4.xml><?xml version="1.0" encoding="utf-8"?>
<ds:datastoreItem xmlns:ds="http://schemas.openxmlformats.org/officeDocument/2006/customXml" ds:itemID="{DDC4C06D-2923-449A-9A8E-24D8DBE7D6A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