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Model Loan-Agreement ADR Clause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Drop-in clause to name Equator in loan agreements (see Annexure E for variants).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RECOMMENDED CLAUSE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“Any dispute under this loan agreement shall first be referred to mediation/conciliation administered by Equator Resolution under its Rules; any dispute not settled within [30] days shall be finally resolved by arbitration administered by Equator under the Equator Rules of Arbitration (seat [city]). Nothing in this clause affects the Lender's rights under the SARFAESI Act, 2002 or before the Debts Recovery Tribunal, or the borrower's right to approach the RBI Ombudsman.”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COMPLETE THE VARIABLES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Seat / venue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Mediation window (days)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Governing law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required?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Confirm arbitrability and the SARFAESI/DRT saving with counsel; borrower protections cannot be contracted away.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F-L19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4087CB-8A8E-48A5-83DF-1491A04E6610}"/>
</file>

<file path=customXml/itemProps3.xml><?xml version="1.0" encoding="utf-8"?>
<ds:datastoreItem xmlns:ds="http://schemas.openxmlformats.org/officeDocument/2006/customXml" ds:itemID="{B96E59E6-8C53-486E-AFD5-BAA28D13A018}"/>
</file>

<file path=customXml/itemProps4.xml><?xml version="1.0" encoding="utf-8"?>
<ds:datastoreItem xmlns:ds="http://schemas.openxmlformats.org/officeDocument/2006/customXml" ds:itemID="{7877BE08-172B-401B-95BA-3AF43022B8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