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23B4F"/>
          <w:sz w:val="30"/>
        </w:rPr>
        <w:t>EQUATOR RESOLUTION</w:t>
      </w:r>
    </w:p>
    <w:p>
      <w:pPr>
        <w:spacing w:after="40"/>
        <w:jc w:val="center"/>
      </w:pPr>
      <w:r>
        <w:rPr>
          <w:rFonts w:ascii="Calibri" w:hAnsi="Calibri"/>
          <w:b w:val="0"/>
          <w:i/>
          <w:color w:val="1E7A8C"/>
          <w:sz w:val="19"/>
        </w:rPr>
        <w:t>Institutional Mediation, Conciliation &amp; Settlement</w:t>
      </w:r>
    </w:p>
    <w:p>
      <w:pPr>
        <w:pBdr>
          <w:bottom w:val="single" w:sz="14" w:space="1" w:color="C6A15B"/>
        </w:pBdr>
      </w:pPr>
    </w:p>
    <w:p>
      <w:pPr>
        <w:spacing w:before="200"/>
        <w:jc w:val="center"/>
      </w:pPr>
      <w:r>
        <w:rPr>
          <w:rFonts w:ascii="Calibri" w:hAnsi="Calibri"/>
          <w:b/>
          <w:i w:val="0"/>
          <w:color w:val="123B4F"/>
          <w:sz w:val="44"/>
        </w:rPr>
        <w:t>Neutral Toolkit &amp; SOP Runbooks</w:t>
      </w:r>
    </w:p>
    <w:p>
      <w:pPr>
        <w:jc w:val="center"/>
      </w:pPr>
      <w:r>
        <w:rPr>
          <w:rFonts w:ascii="Calibri" w:hAnsi="Calibri"/>
          <w:b w:val="0"/>
          <w:i w:val="0"/>
          <w:color w:val="556168"/>
          <w:sz w:val="22"/>
        </w:rPr>
        <w:t>Financial &amp; Loan vertical — for mediators, conciliators, case managers &amp; escrow officers</w:t>
      </w:r>
    </w:p>
    <w:p>
      <w:pPr>
        <w:spacing w:after="120"/>
        <w:jc w:val="both"/>
      </w:pPr>
      <w:r>
        <w:rPr>
          <w:rFonts w:ascii="Calibri" w:hAnsi="Calibri"/>
          <w:b w:val="0"/>
          <w:i w:val="0"/>
          <w:color w:val="1B2A32"/>
          <w:sz w:val="21"/>
        </w:rPr>
        <w:t>This toolkit equips Equator's neutrals and staff to run borrower–lender resolutions consistently, fairly and at speed. It covers the one-time settlement (OTS), the cheque-bounce (NI-138) settlement, digital-lending and harassment grievances, and coordination with the RBI Ombudsman, the DRT and the Lok Adalat. Part 1 is the mediator/conciliator toolkit; Part 2 the OTS &amp; NI-138 playbooks; Part 3 the case-manager &amp; escrow runbooks; Part 4 ethics &amp; borrower-protection scenarios; Part 5 checklists.</w:t>
      </w:r>
    </w:p>
    <w:p>
      <w:pPr>
        <w:keepNext/>
        <w:spacing w:before="280" w:after="120"/>
        <w:pBdr>
          <w:bottom w:val="single" w:sz="12" w:space="3" w:color="C6A15B"/>
        </w:pBdr>
      </w:pPr>
      <w:r>
        <w:rPr>
          <w:rFonts w:ascii="Calibri" w:hAnsi="Calibri"/>
          <w:b/>
          <w:i w:val="0"/>
          <w:color w:val="123B4F"/>
          <w:sz w:val="34"/>
        </w:rPr>
        <w:t>Part 1 — The Mediator / Conciliator's Toolkit</w:t>
      </w:r>
    </w:p>
    <w:p>
      <w:pPr>
        <w:keepNext/>
        <w:spacing w:before="200" w:after="60"/>
      </w:pPr>
      <w:r>
        <w:rPr>
          <w:rFonts w:ascii="Calibri" w:hAnsi="Calibri"/>
          <w:b/>
          <w:i w:val="0"/>
          <w:color w:val="1E7A8C"/>
          <w:sz w:val="26"/>
        </w:rPr>
        <w:t>1.1 Opening statement</w:t>
      </w:r>
    </w:p>
    <w:p>
      <w:pPr>
        <w:spacing w:after="100"/>
        <w:ind w:left="360"/>
      </w:pPr>
      <w:r>
        <w:rPr>
          <w:rFonts w:ascii="Calibri" w:hAnsi="Calibri"/>
          <w:b w:val="0"/>
          <w:i/>
          <w:color w:val="1B2A32"/>
          <w:sz w:val="21"/>
        </w:rPr>
        <w:t>“This session is voluntary, confidential and without prejudice. I am neutral — I do not act for the lender or the borrower, I will not decide anything, and I will not give legal advice. My role is to help you reach a fair, workable settlement. Nothing said here can be used against either of you in court, subject to the legal exceptions.”</w:t>
      </w:r>
    </w:p>
    <w:p>
      <w:pPr>
        <w:keepNext/>
        <w:spacing w:before="200" w:after="60"/>
      </w:pPr>
      <w:r>
        <w:rPr>
          <w:rFonts w:ascii="Calibri" w:hAnsi="Calibri"/>
          <w:b/>
          <w:i w:val="0"/>
          <w:color w:val="1E7A8C"/>
          <w:sz w:val="26"/>
        </w:rPr>
        <w:t>1.2 Set the ground rules</w:t>
      </w:r>
    </w:p>
    <w:p>
      <w:pPr>
        <w:pStyle w:val="ListBullet"/>
        <w:spacing w:after="60"/>
        <w:jc w:val="both"/>
      </w:pPr>
      <w:r>
        <w:rPr>
          <w:rFonts w:ascii="Calibri" w:hAnsi="Calibri"/>
          <w:b w:val="0"/>
          <w:i w:val="0"/>
          <w:color w:val="1B2A32"/>
          <w:sz w:val="21"/>
        </w:rPr>
        <w:t xml:space="preserve">Confirm both parties attend with </w:t>
      </w:r>
      <w:r>
        <w:rPr>
          <w:rFonts w:ascii="Calibri" w:hAnsi="Calibri"/>
          <w:b/>
          <w:i w:val="0"/>
          <w:color w:val="1B2A32"/>
          <w:sz w:val="21"/>
        </w:rPr>
        <w:t>authority to settle</w:t>
      </w:r>
      <w:r>
        <w:rPr>
          <w:rFonts w:ascii="Calibri" w:hAnsi="Calibri"/>
          <w:b w:val="0"/>
          <w:i w:val="0"/>
          <w:color w:val="1B2A32"/>
          <w:sz w:val="21"/>
        </w:rPr>
        <w:t xml:space="preserve"> (for a lender, a person who can approve the OTS under the board-approved policy).</w:t>
      </w:r>
    </w:p>
    <w:p>
      <w:pPr>
        <w:pStyle w:val="ListBullet"/>
        <w:spacing w:after="60"/>
        <w:jc w:val="both"/>
      </w:pPr>
      <w:r>
        <w:rPr>
          <w:rFonts w:ascii="Calibri" w:hAnsi="Calibri"/>
          <w:b w:val="0"/>
          <w:i w:val="0"/>
          <w:color w:val="1B2A32"/>
          <w:sz w:val="21"/>
        </w:rPr>
        <w:t>No harassment, threats or abusive language; a borrower may withdraw at any time.</w:t>
      </w:r>
    </w:p>
    <w:p>
      <w:pPr>
        <w:pStyle w:val="ListBullet"/>
        <w:spacing w:after="60"/>
        <w:jc w:val="both"/>
      </w:pPr>
      <w:r>
        <w:rPr>
          <w:rFonts w:ascii="Calibri" w:hAnsi="Calibri"/>
          <w:b w:val="0"/>
          <w:i w:val="0"/>
          <w:color w:val="1B2A32"/>
          <w:sz w:val="21"/>
        </w:rPr>
        <w:t xml:space="preserve">Confirm the </w:t>
      </w:r>
      <w:r>
        <w:rPr>
          <w:rFonts w:ascii="Calibri" w:hAnsi="Calibri"/>
          <w:b/>
          <w:i w:val="0"/>
          <w:color w:val="1B2A32"/>
          <w:sz w:val="21"/>
        </w:rPr>
        <w:t>numbers on the table</w:t>
      </w:r>
      <w:r>
        <w:rPr>
          <w:rFonts w:ascii="Calibri" w:hAnsi="Calibri"/>
          <w:b w:val="0"/>
          <w:i w:val="0"/>
          <w:color w:val="1B2A32"/>
          <w:sz w:val="21"/>
        </w:rPr>
        <w:t xml:space="preserve"> — principal, interest, penal charges — from documents, not memory.</w:t>
      </w:r>
    </w:p>
    <w:p>
      <w:pPr>
        <w:pStyle w:val="ListBullet"/>
        <w:spacing w:after="60"/>
        <w:jc w:val="both"/>
      </w:pPr>
      <w:r>
        <w:rPr>
          <w:rFonts w:ascii="Calibri" w:hAnsi="Calibri"/>
          <w:b w:val="0"/>
          <w:i w:val="0"/>
          <w:color w:val="1B2A32"/>
          <w:sz w:val="21"/>
        </w:rPr>
        <w:t>Explain escrow, e-Sign, e-Stamp and the No-Dues/NOC so both sides know how the money and closure work.</w:t>
      </w:r>
    </w:p>
    <w:p>
      <w:pPr>
        <w:keepNext/>
        <w:spacing w:before="200" w:after="60"/>
      </w:pPr>
      <w:r>
        <w:rPr>
          <w:rFonts w:ascii="Calibri" w:hAnsi="Calibri"/>
          <w:b/>
          <w:i w:val="0"/>
          <w:color w:val="1E7A8C"/>
          <w:sz w:val="26"/>
        </w:rPr>
        <w:t>1.3 Techniques for money disputes</w:t>
      </w:r>
    </w:p>
    <w:p>
      <w:pPr>
        <w:pStyle w:val="ListBullet"/>
        <w:spacing w:after="60"/>
        <w:jc w:val="both"/>
      </w:pPr>
      <w:r>
        <w:rPr>
          <w:rFonts w:ascii="Calibri" w:hAnsi="Calibri"/>
          <w:b w:val="0"/>
          <w:i w:val="0"/>
          <w:color w:val="1B2A32"/>
          <w:sz w:val="21"/>
        </w:rPr>
        <w:t xml:space="preserve">Separate </w:t>
      </w:r>
      <w:r>
        <w:rPr>
          <w:rFonts w:ascii="Calibri" w:hAnsi="Calibri"/>
          <w:b/>
          <w:i w:val="0"/>
          <w:color w:val="1B2A32"/>
          <w:sz w:val="21"/>
        </w:rPr>
        <w:t>capacity to pay</w:t>
      </w:r>
      <w:r>
        <w:rPr>
          <w:rFonts w:ascii="Calibri" w:hAnsi="Calibri"/>
          <w:b w:val="0"/>
          <w:i w:val="0"/>
          <w:color w:val="1B2A32"/>
          <w:sz w:val="21"/>
        </w:rPr>
        <w:t xml:space="preserve"> from willingness; a realistic instalment plan often beats an unaffordable lump sum.</w:t>
      </w:r>
    </w:p>
    <w:p>
      <w:pPr>
        <w:pStyle w:val="ListBullet"/>
        <w:spacing w:after="60"/>
        <w:jc w:val="both"/>
      </w:pPr>
      <w:r>
        <w:rPr>
          <w:rFonts w:ascii="Calibri" w:hAnsi="Calibri"/>
          <w:b w:val="0"/>
          <w:i w:val="0"/>
          <w:color w:val="1B2A32"/>
          <w:sz w:val="21"/>
        </w:rPr>
        <w:t xml:space="preserve">Reality-test against the alternative — the </w:t>
      </w:r>
      <w:r>
        <w:rPr>
          <w:rFonts w:ascii="Calibri" w:hAnsi="Calibri"/>
          <w:b/>
          <w:i w:val="0"/>
          <w:color w:val="1B2A32"/>
          <w:sz w:val="21"/>
        </w:rPr>
        <w:t>cost, time and uncertainty</w:t>
      </w:r>
      <w:r>
        <w:rPr>
          <w:rFonts w:ascii="Calibri" w:hAnsi="Calibri"/>
          <w:b w:val="0"/>
          <w:i w:val="0"/>
          <w:color w:val="1B2A32"/>
          <w:sz w:val="21"/>
        </w:rPr>
        <w:t xml:space="preserve"> of an NI-138 trial, a recovery suit or a DRT proceeding.</w:t>
      </w:r>
    </w:p>
    <w:p>
      <w:pPr>
        <w:pStyle w:val="ListBullet"/>
        <w:spacing w:after="60"/>
        <w:jc w:val="both"/>
      </w:pPr>
      <w:r>
        <w:rPr>
          <w:rFonts w:ascii="Calibri" w:hAnsi="Calibri"/>
          <w:b w:val="0"/>
          <w:i w:val="0"/>
          <w:color w:val="1B2A32"/>
          <w:sz w:val="21"/>
        </w:rPr>
        <w:t xml:space="preserve">Use the </w:t>
      </w:r>
      <w:r>
        <w:rPr>
          <w:rFonts w:ascii="Calibri" w:hAnsi="Calibri"/>
          <w:b/>
          <w:i w:val="0"/>
          <w:color w:val="1B2A32"/>
          <w:sz w:val="21"/>
        </w:rPr>
        <w:t>OTS Estimator</w:t>
      </w:r>
      <w:r>
        <w:rPr>
          <w:rFonts w:ascii="Calibri" w:hAnsi="Calibri"/>
          <w:b w:val="0"/>
          <w:i w:val="0"/>
          <w:color w:val="1B2A32"/>
          <w:sz w:val="21"/>
        </w:rPr>
        <w:t xml:space="preserve"> to move from positions to a transparent figure (principal + net interest, penal waived, discount).</w:t>
      </w:r>
    </w:p>
    <w:p>
      <w:pPr>
        <w:pStyle w:val="ListBullet"/>
        <w:spacing w:after="60"/>
        <w:jc w:val="both"/>
      </w:pPr>
      <w:r>
        <w:rPr>
          <w:rFonts w:ascii="Calibri" w:hAnsi="Calibri"/>
          <w:b w:val="0"/>
          <w:i w:val="0"/>
          <w:color w:val="1B2A32"/>
          <w:sz w:val="21"/>
        </w:rPr>
        <w:t xml:space="preserve">Bridge gaps with structure — </w:t>
      </w:r>
      <w:r>
        <w:rPr>
          <w:rFonts w:ascii="Calibri" w:hAnsi="Calibri"/>
          <w:b/>
          <w:i w:val="0"/>
          <w:color w:val="1B2A32"/>
          <w:sz w:val="21"/>
        </w:rPr>
        <w:t>instalments, escrow milestones, part-waiver of penal charges, and a clean credit report</w:t>
      </w:r>
      <w:r>
        <w:rPr>
          <w:rFonts w:ascii="Calibri" w:hAnsi="Calibri"/>
          <w:b w:val="0"/>
          <w:i w:val="0"/>
          <w:color w:val="1B2A32"/>
          <w:sz w:val="21"/>
        </w:rPr>
        <w:t xml:space="preserve"> on closure.</w:t>
      </w:r>
    </w:p>
    <w:p>
      <w:pPr>
        <w:pStyle w:val="ListBullet"/>
        <w:spacing w:after="60"/>
        <w:jc w:val="both"/>
      </w:pPr>
      <w:r>
        <w:rPr>
          <w:rFonts w:ascii="Calibri" w:hAnsi="Calibri"/>
          <w:b w:val="0"/>
          <w:i w:val="0"/>
          <w:color w:val="1B2A32"/>
          <w:sz w:val="21"/>
        </w:rPr>
        <w:t xml:space="preserve">Where the borrower alleges </w:t>
      </w:r>
      <w:r>
        <w:rPr>
          <w:rFonts w:ascii="Calibri" w:hAnsi="Calibri"/>
          <w:b/>
          <w:i w:val="0"/>
          <w:color w:val="1B2A32"/>
          <w:sz w:val="21"/>
        </w:rPr>
        <w:t>wrong charges or mis-selling</w:t>
      </w:r>
      <w:r>
        <w:rPr>
          <w:rFonts w:ascii="Calibri" w:hAnsi="Calibri"/>
          <w:b w:val="0"/>
          <w:i w:val="0"/>
          <w:color w:val="1B2A32"/>
          <w:sz w:val="21"/>
        </w:rPr>
        <w:t>, fold the correction into the settlement rather than litigating it.</w:t>
      </w:r>
    </w:p>
    <w:p>
      <w:pPr>
        <w:keepNext/>
        <w:spacing w:before="200" w:after="60"/>
      </w:pPr>
      <w:r>
        <w:rPr>
          <w:rFonts w:ascii="Calibri" w:hAnsi="Calibri"/>
          <w:b/>
          <w:i w:val="0"/>
          <w:color w:val="1E7A8C"/>
          <w:sz w:val="26"/>
        </w:rPr>
        <w:t>1.4 Recording the settlement</w:t>
      </w:r>
    </w:p>
    <w:p>
      <w:pPr>
        <w:spacing w:after="120"/>
        <w:jc w:val="both"/>
      </w:pPr>
      <w:r>
        <w:rPr>
          <w:rFonts w:ascii="Calibri" w:hAnsi="Calibri"/>
          <w:b w:val="0"/>
          <w:i w:val="0"/>
          <w:color w:val="1B2A32"/>
          <w:sz w:val="21"/>
        </w:rPr>
        <w:t xml:space="preserve">Reduce the agreement to a </w:t>
      </w:r>
      <w:r>
        <w:rPr>
          <w:rFonts w:ascii="Calibri" w:hAnsi="Calibri"/>
          <w:b/>
          <w:i w:val="0"/>
          <w:color w:val="1B2A32"/>
          <w:sz w:val="21"/>
        </w:rPr>
        <w:t>written settlement</w:t>
      </w:r>
      <w:r>
        <w:rPr>
          <w:rFonts w:ascii="Calibri" w:hAnsi="Calibri"/>
          <w:b w:val="0"/>
          <w:i w:val="0"/>
          <w:color w:val="1B2A32"/>
          <w:sz w:val="21"/>
        </w:rPr>
        <w:t xml:space="preserve"> signed by both parties: the settled figure, the payment schedule, the escrow instruction, the penal/interest waiver, the </w:t>
      </w:r>
      <w:r>
        <w:rPr>
          <w:rFonts w:ascii="Calibri" w:hAnsi="Calibri"/>
          <w:b/>
          <w:i w:val="0"/>
          <w:color w:val="1B2A32"/>
          <w:sz w:val="21"/>
        </w:rPr>
        <w:t>No-Dues/NOC</w:t>
      </w:r>
      <w:r>
        <w:rPr>
          <w:rFonts w:ascii="Calibri" w:hAnsi="Calibri"/>
          <w:b w:val="0"/>
          <w:i w:val="0"/>
          <w:color w:val="1B2A32"/>
          <w:sz w:val="21"/>
        </w:rPr>
        <w:t xml:space="preserve"> on final payment, and the </w:t>
      </w:r>
      <w:r>
        <w:rPr>
          <w:rFonts w:ascii="Calibri" w:hAnsi="Calibri"/>
          <w:b/>
          <w:i w:val="0"/>
          <w:color w:val="1B2A32"/>
          <w:sz w:val="21"/>
        </w:rPr>
        <w:t>credit-bureau correction</w:t>
      </w:r>
      <w:r>
        <w:rPr>
          <w:rFonts w:ascii="Calibri" w:hAnsi="Calibri"/>
          <w:b w:val="0"/>
          <w:i w:val="0"/>
          <w:color w:val="1B2A32"/>
          <w:sz w:val="21"/>
        </w:rPr>
        <w:t xml:space="preserve"> the lender will file. Under the Mediation Act it is enforceable as a decree (s.27). Offer to record it in a </w:t>
      </w:r>
      <w:r>
        <w:rPr>
          <w:rFonts w:ascii="Calibri" w:hAnsi="Calibri"/>
          <w:b/>
          <w:i w:val="0"/>
          <w:color w:val="1B2A32"/>
          <w:sz w:val="21"/>
        </w:rPr>
        <w:t>Lok Adalat</w:t>
      </w:r>
      <w:r>
        <w:rPr>
          <w:rFonts w:ascii="Calibri" w:hAnsi="Calibri"/>
          <w:b w:val="0"/>
          <w:i w:val="0"/>
          <w:color w:val="1B2A32"/>
          <w:sz w:val="21"/>
        </w:rPr>
        <w:t xml:space="preserve"> for a final, non-appealable award where the parties want maximum certainty.</w:t>
      </w:r>
    </w:p>
    <w:p>
      <w:pPr>
        <w:keepNext/>
        <w:spacing w:before="280" w:after="120"/>
        <w:pBdr>
          <w:bottom w:val="single" w:sz="12" w:space="3" w:color="C6A15B"/>
        </w:pBdr>
      </w:pPr>
      <w:r>
        <w:rPr>
          <w:rFonts w:ascii="Calibri" w:hAnsi="Calibri"/>
          <w:b/>
          <w:i w:val="0"/>
          <w:color w:val="123B4F"/>
          <w:sz w:val="34"/>
        </w:rPr>
        <w:t>Part 2 — The OTS &amp; Cheque-Bounce Playbooks</w:t>
      </w:r>
    </w:p>
    <w:p>
      <w:pPr>
        <w:keepNext/>
        <w:spacing w:before="200" w:after="60"/>
      </w:pPr>
      <w:r>
        <w:rPr>
          <w:rFonts w:ascii="Calibri" w:hAnsi="Calibri"/>
          <w:b/>
          <w:i w:val="0"/>
          <w:color w:val="1E7A8C"/>
          <w:sz w:val="26"/>
        </w:rPr>
        <w:t>2.1 One-time settlement (OTS) playbook</w:t>
      </w:r>
    </w:p>
    <w:p>
      <w:pPr>
        <w:pStyle w:val="ListNumber"/>
        <w:spacing w:after="60"/>
        <w:jc w:val="both"/>
      </w:pPr>
      <w:r>
        <w:rPr>
          <w:rFonts w:ascii="Calibri" w:hAnsi="Calibri"/>
          <w:b w:val="0"/>
          <w:i w:val="0"/>
          <w:color w:val="1B2A32"/>
          <w:sz w:val="21"/>
        </w:rPr>
        <w:t xml:space="preserve">Establish the </w:t>
      </w:r>
      <w:r>
        <w:rPr>
          <w:rFonts w:ascii="Calibri" w:hAnsi="Calibri"/>
          <w:b/>
          <w:i w:val="0"/>
          <w:color w:val="1B2A32"/>
          <w:sz w:val="21"/>
        </w:rPr>
        <w:t>total dues</w:t>
      </w:r>
      <w:r>
        <w:rPr>
          <w:rFonts w:ascii="Calibri" w:hAnsi="Calibri"/>
          <w:b w:val="0"/>
          <w:i w:val="0"/>
          <w:color w:val="1B2A32"/>
          <w:sz w:val="21"/>
        </w:rPr>
        <w:t xml:space="preserve"> from the statement of account; separate principal, interest and penal charges.</w:t>
      </w:r>
    </w:p>
    <w:p>
      <w:pPr>
        <w:pStyle w:val="ListNumber"/>
        <w:spacing w:after="60"/>
        <w:jc w:val="both"/>
      </w:pPr>
      <w:r>
        <w:rPr>
          <w:rFonts w:ascii="Calibri" w:hAnsi="Calibri"/>
          <w:b w:val="0"/>
          <w:i w:val="0"/>
          <w:color w:val="1B2A32"/>
          <w:sz w:val="21"/>
        </w:rPr>
        <w:t xml:space="preserve">Run the </w:t>
      </w:r>
      <w:r>
        <w:rPr>
          <w:rFonts w:ascii="Calibri" w:hAnsi="Calibri"/>
          <w:b/>
          <w:i w:val="0"/>
          <w:color w:val="1B2A32"/>
          <w:sz w:val="21"/>
        </w:rPr>
        <w:t>OTS Estimator</w:t>
      </w:r>
      <w:r>
        <w:rPr>
          <w:rFonts w:ascii="Calibri" w:hAnsi="Calibri"/>
          <w:b w:val="0"/>
          <w:i w:val="0"/>
          <w:color w:val="1B2A32"/>
          <w:sz w:val="21"/>
        </w:rPr>
        <w:t>; present the LOW (principal-only) to HIGH (after waivers) range as a negotiation frame.</w:t>
      </w:r>
    </w:p>
    <w:p>
      <w:pPr>
        <w:pStyle w:val="ListNumber"/>
        <w:spacing w:after="60"/>
        <w:jc w:val="both"/>
      </w:pPr>
      <w:r>
        <w:rPr>
          <w:rFonts w:ascii="Calibri" w:hAnsi="Calibri"/>
          <w:b w:val="0"/>
          <w:i w:val="0"/>
          <w:color w:val="1B2A32"/>
          <w:sz w:val="21"/>
        </w:rPr>
        <w:t xml:space="preserve">Confirm the lender's settlement authority sits within its </w:t>
      </w:r>
      <w:r>
        <w:rPr>
          <w:rFonts w:ascii="Calibri" w:hAnsi="Calibri"/>
          <w:b/>
          <w:i w:val="0"/>
          <w:color w:val="1B2A32"/>
          <w:sz w:val="21"/>
        </w:rPr>
        <w:t>board-approved compromise-settlement policy (RBI, 2023)</w:t>
      </w:r>
      <w:r>
        <w:rPr>
          <w:rFonts w:ascii="Calibri" w:hAnsi="Calibri"/>
          <w:b w:val="0"/>
          <w:i w:val="0"/>
          <w:color w:val="1B2A32"/>
          <w:sz w:val="21"/>
        </w:rPr>
        <w:t>.</w:t>
      </w:r>
    </w:p>
    <w:p>
      <w:pPr>
        <w:pStyle w:val="ListNumber"/>
        <w:spacing w:after="60"/>
        <w:jc w:val="both"/>
      </w:pPr>
      <w:r>
        <w:rPr>
          <w:rFonts w:ascii="Calibri" w:hAnsi="Calibri"/>
          <w:b w:val="0"/>
          <w:i w:val="0"/>
          <w:color w:val="1B2A32"/>
          <w:sz w:val="21"/>
        </w:rPr>
        <w:t xml:space="preserve">Agree the figure, the schedule and the </w:t>
      </w:r>
      <w:r>
        <w:rPr>
          <w:rFonts w:ascii="Calibri" w:hAnsi="Calibri"/>
          <w:b/>
          <w:i w:val="0"/>
          <w:color w:val="1B2A32"/>
          <w:sz w:val="21"/>
        </w:rPr>
        <w:t>escrow milestones</w:t>
      </w:r>
      <w:r>
        <w:rPr>
          <w:rFonts w:ascii="Calibri" w:hAnsi="Calibri"/>
          <w:b w:val="0"/>
          <w:i w:val="0"/>
          <w:color w:val="1B2A32"/>
          <w:sz w:val="21"/>
        </w:rPr>
        <w:t>; capture penal/interest waiver expressly.</w:t>
      </w:r>
    </w:p>
    <w:p>
      <w:pPr>
        <w:pStyle w:val="ListNumber"/>
        <w:spacing w:after="60"/>
        <w:jc w:val="both"/>
      </w:pPr>
      <w:r>
        <w:rPr>
          <w:rFonts w:ascii="Calibri" w:hAnsi="Calibri"/>
          <w:b w:val="0"/>
          <w:i w:val="0"/>
          <w:color w:val="1B2A32"/>
          <w:sz w:val="21"/>
        </w:rPr>
        <w:t xml:space="preserve">On final payment from escrow, secure the </w:t>
      </w:r>
      <w:r>
        <w:rPr>
          <w:rFonts w:ascii="Calibri" w:hAnsi="Calibri"/>
          <w:b/>
          <w:i w:val="0"/>
          <w:color w:val="1B2A32"/>
          <w:sz w:val="21"/>
        </w:rPr>
        <w:t>No-Dues/NOC</w:t>
      </w:r>
      <w:r>
        <w:rPr>
          <w:rFonts w:ascii="Calibri" w:hAnsi="Calibri"/>
          <w:b w:val="0"/>
          <w:i w:val="0"/>
          <w:color w:val="1B2A32"/>
          <w:sz w:val="21"/>
        </w:rPr>
        <w:t xml:space="preserve"> and the </w:t>
      </w:r>
      <w:r>
        <w:rPr>
          <w:rFonts w:ascii="Calibri" w:hAnsi="Calibri"/>
          <w:b/>
          <w:i w:val="0"/>
          <w:color w:val="1B2A32"/>
          <w:sz w:val="21"/>
        </w:rPr>
        <w:t>credit-bureau update</w:t>
      </w:r>
      <w:r>
        <w:rPr>
          <w:rFonts w:ascii="Calibri" w:hAnsi="Calibri"/>
          <w:b w:val="0"/>
          <w:i w:val="0"/>
          <w:color w:val="1B2A32"/>
          <w:sz w:val="21"/>
        </w:rPr>
        <w:t xml:space="preserve"> to ‘settled/closed’.</w:t>
      </w:r>
    </w:p>
    <w:tbl>
      <w:tblPr>
        <w:tblW w:type="auto" w:w="0"/>
        <w:tblLook w:firstColumn="1" w:firstRow="1" w:lastColumn="0" w:lastRow="0" w:noHBand="0" w:noVBand="1" w:val="04A0"/>
      </w:tblPr>
      <w:tblGrid>
        <w:gridCol w:w="9648"/>
      </w:tblGrid>
      <w:tr>
        <w:tc>
          <w:tcPr>
            <w:tcW w:type="dxa" w:w="9648"/>
            <w:shd w:val="clear" w:fill="F5ECD6"/>
            <w:tcBorders>
              <w:start w:val="single" w:sz="22" w:space="0" w:color="C6A15B"/>
            </w:tcBorders>
          </w:tcPr>
          <w:p>
            <w:r>
              <w:rPr>
                <w:rFonts w:ascii="Calibri" w:hAnsi="Calibri"/>
                <w:b/>
                <w:i w:val="0"/>
                <w:color w:val="123B4F"/>
                <w:sz w:val="18"/>
              </w:rPr>
              <w:t>RBI compromise-settlement framework (2023)</w:t>
            </w:r>
          </w:p>
          <w:p>
            <w:r>
              <w:rPr>
                <w:rFonts w:ascii="Calibri" w:hAnsi="Calibri"/>
                <w:b w:val="0"/>
                <w:i w:val="0"/>
                <w:color w:val="1B2A32"/>
                <w:sz w:val="19"/>
              </w:rPr>
              <w:t>Lenders may settle under a board-approved policy; a settlement does not, by itself, bar the borrower from future credit, and the account status must be reported accurately to the credit bureaus. Confirm the current RBI circular and the lender's own policy before finalising.</w:t>
            </w:r>
          </w:p>
        </w:tc>
      </w:tr>
    </w:tbl>
    <w:p>
      <w:pPr>
        <w:spacing w:after="40"/>
      </w:pPr>
    </w:p>
    <w:p>
      <w:pPr>
        <w:keepNext/>
        <w:spacing w:before="200" w:after="60"/>
      </w:pPr>
      <w:r>
        <w:rPr>
          <w:rFonts w:ascii="Calibri" w:hAnsi="Calibri"/>
          <w:b/>
          <w:i w:val="0"/>
          <w:color w:val="1E7A8C"/>
          <w:sz w:val="26"/>
        </w:rPr>
        <w:t>2.2 Cheque-bounce (NI-138) settlement playbook</w:t>
      </w:r>
    </w:p>
    <w:p>
      <w:pPr>
        <w:pStyle w:val="ListNumber"/>
        <w:spacing w:after="60"/>
        <w:jc w:val="both"/>
      </w:pPr>
      <w:r>
        <w:rPr>
          <w:rFonts w:ascii="Calibri" w:hAnsi="Calibri"/>
          <w:b w:val="0"/>
          <w:i w:val="0"/>
          <w:color w:val="1B2A32"/>
          <w:sz w:val="21"/>
        </w:rPr>
        <w:t xml:space="preserve">Confirm the </w:t>
      </w:r>
      <w:r>
        <w:rPr>
          <w:rFonts w:ascii="Calibri" w:hAnsi="Calibri"/>
          <w:b/>
          <w:i w:val="0"/>
          <w:color w:val="1B2A32"/>
          <w:sz w:val="21"/>
        </w:rPr>
        <w:t>dishonour, the statutory demand and the complaint timeline</w:t>
      </w:r>
      <w:r>
        <w:rPr>
          <w:rFonts w:ascii="Calibri" w:hAnsi="Calibri"/>
          <w:b w:val="0"/>
          <w:i w:val="0"/>
          <w:color w:val="1B2A32"/>
          <w:sz w:val="21"/>
        </w:rPr>
        <w:t xml:space="preserve"> — and that the parties can compound.</w:t>
      </w:r>
    </w:p>
    <w:p>
      <w:pPr>
        <w:pStyle w:val="ListNumber"/>
        <w:spacing w:after="60"/>
        <w:jc w:val="both"/>
      </w:pPr>
      <w:r>
        <w:rPr>
          <w:rFonts w:ascii="Calibri" w:hAnsi="Calibri"/>
          <w:b w:val="0"/>
          <w:i w:val="0"/>
          <w:color w:val="1B2A32"/>
          <w:sz w:val="21"/>
        </w:rPr>
        <w:t xml:space="preserve">Mediate the amount — cheque sum, plus reasonable interest/costs; </w:t>
      </w:r>
      <w:r>
        <w:rPr>
          <w:rFonts w:ascii="Calibri" w:hAnsi="Calibri"/>
          <w:b/>
          <w:i w:val="0"/>
          <w:color w:val="1B2A32"/>
          <w:sz w:val="21"/>
        </w:rPr>
        <w:t>secure it through escrow</w:t>
      </w:r>
      <w:r>
        <w:rPr>
          <w:rFonts w:ascii="Calibri" w:hAnsi="Calibri"/>
          <w:b w:val="0"/>
          <w:i w:val="0"/>
          <w:color w:val="1B2A32"/>
          <w:sz w:val="21"/>
        </w:rPr>
        <w:t>.</w:t>
      </w:r>
    </w:p>
    <w:p>
      <w:pPr>
        <w:pStyle w:val="ListNumber"/>
        <w:spacing w:after="60"/>
        <w:jc w:val="both"/>
      </w:pPr>
      <w:r>
        <w:rPr>
          <w:rFonts w:ascii="Calibri" w:hAnsi="Calibri"/>
          <w:b w:val="0"/>
          <w:i w:val="0"/>
          <w:color w:val="1B2A32"/>
          <w:sz w:val="21"/>
        </w:rPr>
        <w:t xml:space="preserve">On payment, record </w:t>
      </w:r>
      <w:r>
        <w:rPr>
          <w:rFonts w:ascii="Calibri" w:hAnsi="Calibri"/>
          <w:b/>
          <w:i w:val="0"/>
          <w:color w:val="1B2A32"/>
          <w:sz w:val="21"/>
        </w:rPr>
        <w:t>compounding under s.147</w:t>
      </w:r>
      <w:r>
        <w:rPr>
          <w:rFonts w:ascii="Calibri" w:hAnsi="Calibri"/>
          <w:b w:val="0"/>
          <w:i w:val="0"/>
          <w:color w:val="1B2A32"/>
          <w:sz w:val="21"/>
        </w:rPr>
        <w:t xml:space="preserve"> and file the memo/consent so the court can close the case.</w:t>
      </w:r>
    </w:p>
    <w:p>
      <w:pPr>
        <w:pStyle w:val="ListNumber"/>
        <w:spacing w:after="60"/>
        <w:jc w:val="both"/>
      </w:pPr>
      <w:r>
        <w:rPr>
          <w:rFonts w:ascii="Calibri" w:hAnsi="Calibri"/>
          <w:b w:val="0"/>
          <w:i w:val="0"/>
          <w:color w:val="1B2A32"/>
          <w:sz w:val="21"/>
        </w:rPr>
        <w:t xml:space="preserve">Note the </w:t>
      </w:r>
      <w:r>
        <w:rPr>
          <w:rFonts w:ascii="Calibri" w:hAnsi="Calibri"/>
          <w:b/>
          <w:i w:val="0"/>
          <w:color w:val="1B2A32"/>
          <w:sz w:val="21"/>
        </w:rPr>
        <w:t>Damodar Prabhu</w:t>
      </w:r>
      <w:r>
        <w:rPr>
          <w:rFonts w:ascii="Calibri" w:hAnsi="Calibri"/>
          <w:b w:val="0"/>
          <w:i w:val="0"/>
          <w:color w:val="1B2A32"/>
          <w:sz w:val="21"/>
        </w:rPr>
        <w:t xml:space="preserve"> graded-cost guidance: early settlement avoids escalating costs — use it to encourage prompt closure.</w:t>
      </w:r>
    </w:p>
    <w:p>
      <w:pPr>
        <w:pStyle w:val="ListNumber"/>
        <w:spacing w:after="60"/>
        <w:jc w:val="both"/>
      </w:pPr>
      <w:r>
        <w:rPr>
          <w:rFonts w:ascii="Calibri" w:hAnsi="Calibri"/>
          <w:b w:val="0"/>
          <w:i w:val="0"/>
          <w:color w:val="1B2A32"/>
          <w:sz w:val="21"/>
        </w:rPr>
        <w:t xml:space="preserve">Where appropriate, record the settlement in a </w:t>
      </w:r>
      <w:r>
        <w:rPr>
          <w:rFonts w:ascii="Calibri" w:hAnsi="Calibri"/>
          <w:b/>
          <w:i w:val="0"/>
          <w:color w:val="1B2A32"/>
          <w:sz w:val="21"/>
        </w:rPr>
        <w:t>Lok Adalat</w:t>
      </w:r>
      <w:r>
        <w:rPr>
          <w:rFonts w:ascii="Calibri" w:hAnsi="Calibri"/>
          <w:b w:val="0"/>
          <w:i w:val="0"/>
          <w:color w:val="1B2A32"/>
          <w:sz w:val="21"/>
        </w:rPr>
        <w:t xml:space="preserve"> so the award is a final civil-court decree.</w:t>
      </w:r>
    </w:p>
    <w:tbl>
      <w:tblPr>
        <w:tblW w:type="auto" w:w="0"/>
        <w:tblLook w:firstColumn="1" w:firstRow="1" w:lastColumn="0" w:lastRow="0" w:noHBand="0" w:noVBand="1" w:val="04A0"/>
      </w:tblPr>
      <w:tblGrid>
        <w:gridCol w:w="9648"/>
      </w:tblGrid>
      <w:tr>
        <w:tc>
          <w:tcPr>
            <w:tcW w:type="dxa" w:w="9648"/>
            <w:shd w:val="clear" w:fill="F6E0E4"/>
            <w:tcBorders>
              <w:start w:val="single" w:sz="22" w:space="0" w:color="B23A48"/>
            </w:tcBorders>
          </w:tcPr>
          <w:p>
            <w:r>
              <w:rPr>
                <w:rFonts w:ascii="Calibri" w:hAnsi="Calibri"/>
                <w:b/>
                <w:i w:val="0"/>
                <w:color w:val="B23A48"/>
                <w:sz w:val="18"/>
              </w:rPr>
              <w:t>Criminal colour — handle with care</w:t>
            </w:r>
          </w:p>
          <w:p>
            <w:r>
              <w:rPr>
                <w:rFonts w:ascii="Calibri" w:hAnsi="Calibri"/>
                <w:b w:val="0"/>
                <w:i w:val="0"/>
                <w:color w:val="1B2A32"/>
                <w:sz w:val="19"/>
              </w:rPr>
              <w:t>An NI-138 matter is quasi-criminal. The neutral facilitates a lawful compounding/settlement; the neutral must not pressure a borrower with the threat of conviction. Both sides should have the chance to take legal advice before compounding.</w:t>
            </w:r>
          </w:p>
        </w:tc>
      </w:tr>
    </w:tbl>
    <w:p>
      <w:pPr>
        <w:spacing w:after="40"/>
      </w:pPr>
    </w:p>
    <w:p>
      <w:pPr>
        <w:keepNext/>
        <w:spacing w:before="280" w:after="120"/>
        <w:pBdr>
          <w:bottom w:val="single" w:sz="12" w:space="3" w:color="C6A15B"/>
        </w:pBdr>
      </w:pPr>
      <w:r>
        <w:rPr>
          <w:rFonts w:ascii="Calibri" w:hAnsi="Calibri"/>
          <w:b/>
          <w:i w:val="0"/>
          <w:color w:val="123B4F"/>
          <w:sz w:val="34"/>
        </w:rPr>
        <w:t>Part 3 — Case-Manager &amp; Escrow Runbooks</w:t>
      </w:r>
    </w:p>
    <w:p>
      <w:pPr>
        <w:keepNext/>
        <w:spacing w:before="200" w:after="60"/>
      </w:pPr>
      <w:r>
        <w:rPr>
          <w:rFonts w:ascii="Calibri" w:hAnsi="Calibri"/>
          <w:b/>
          <w:i w:val="0"/>
          <w:color w:val="1E7A8C"/>
          <w:sz w:val="26"/>
        </w:rPr>
        <w:t>3.1 Case-manager runbook</w:t>
      </w:r>
    </w:p>
    <w:p>
      <w:pPr>
        <w:pStyle w:val="ListNumber"/>
        <w:spacing w:after="60"/>
        <w:jc w:val="both"/>
      </w:pPr>
      <w:r>
        <w:rPr>
          <w:rFonts w:ascii="Calibri" w:hAnsi="Calibri"/>
          <w:b/>
          <w:i w:val="0"/>
          <w:color w:val="1B2A32"/>
          <w:sz w:val="21"/>
        </w:rPr>
        <w:t>Intake:</w:t>
      </w:r>
      <w:r>
        <w:rPr>
          <w:rFonts w:ascii="Calibri" w:hAnsi="Calibri"/>
          <w:b w:val="0"/>
          <w:i w:val="0"/>
          <w:color w:val="1B2A32"/>
          <w:sz w:val="21"/>
        </w:rPr>
        <w:t xml:space="preserve"> verify KYC/KYB &amp; consent (F-L01); run the </w:t>
      </w:r>
      <w:r>
        <w:rPr>
          <w:rFonts w:ascii="Calibri" w:hAnsi="Calibri"/>
          <w:b/>
          <w:i w:val="0"/>
          <w:color w:val="1B2A32"/>
          <w:sz w:val="21"/>
        </w:rPr>
        <w:t>route triage</w:t>
      </w:r>
      <w:r>
        <w:rPr>
          <w:rFonts w:ascii="Calibri" w:hAnsi="Calibri"/>
          <w:b w:val="0"/>
          <w:i w:val="0"/>
          <w:color w:val="1B2A32"/>
          <w:sz w:val="21"/>
        </w:rPr>
        <w:t xml:space="preserve"> (Ombudsman / mediation-OTS / NI-138 / Lok Adalat / DRT); register with a case number.</w:t>
      </w:r>
    </w:p>
    <w:p>
      <w:pPr>
        <w:pStyle w:val="ListNumber"/>
        <w:spacing w:after="60"/>
        <w:jc w:val="both"/>
      </w:pPr>
      <w:r>
        <w:rPr>
          <w:rFonts w:ascii="Calibri" w:hAnsi="Calibri"/>
          <w:b/>
          <w:i w:val="0"/>
          <w:color w:val="1B2A32"/>
          <w:sz w:val="21"/>
        </w:rPr>
        <w:t>Route check:</w:t>
      </w:r>
      <w:r>
        <w:rPr>
          <w:rFonts w:ascii="Calibri" w:hAnsi="Calibri"/>
          <w:b w:val="0"/>
          <w:i w:val="0"/>
          <w:color w:val="1B2A32"/>
          <w:sz w:val="21"/>
        </w:rPr>
        <w:t xml:space="preserve"> confirm the matter is </w:t>
      </w:r>
      <w:r>
        <w:rPr>
          <w:rFonts w:ascii="Calibri" w:hAnsi="Calibri"/>
          <w:b/>
          <w:i w:val="0"/>
          <w:color w:val="1B2A32"/>
          <w:sz w:val="21"/>
        </w:rPr>
        <w:t>not</w:t>
      </w:r>
      <w:r>
        <w:rPr>
          <w:rFonts w:ascii="Calibri" w:hAnsi="Calibri"/>
          <w:b w:val="0"/>
          <w:i w:val="0"/>
          <w:color w:val="1B2A32"/>
          <w:sz w:val="21"/>
        </w:rPr>
        <w:t xml:space="preserve"> in the exclusive lane of the DRT/SARFAESI or an un-escalated Ombudsman complaint; where it is, signpost and offer to mediate the settlement around it.</w:t>
      </w:r>
    </w:p>
    <w:p>
      <w:pPr>
        <w:pStyle w:val="ListNumber"/>
        <w:spacing w:after="60"/>
        <w:jc w:val="both"/>
      </w:pPr>
      <w:r>
        <w:rPr>
          <w:rFonts w:ascii="Calibri" w:hAnsi="Calibri"/>
          <w:b/>
          <w:i w:val="0"/>
          <w:color w:val="1B2A32"/>
          <w:sz w:val="21"/>
        </w:rPr>
        <w:t>Notice &amp; response:</w:t>
      </w:r>
      <w:r>
        <w:rPr>
          <w:rFonts w:ascii="Calibri" w:hAnsi="Calibri"/>
          <w:b w:val="0"/>
          <w:i w:val="0"/>
          <w:color w:val="1B2A32"/>
          <w:sz w:val="21"/>
        </w:rPr>
        <w:t xml:space="preserve"> serve notice (F-L03); collect the borrower grievance / lender response (F-L04/F-L05).</w:t>
      </w:r>
    </w:p>
    <w:p>
      <w:pPr>
        <w:pStyle w:val="ListNumber"/>
        <w:spacing w:after="60"/>
        <w:jc w:val="both"/>
      </w:pPr>
      <w:r>
        <w:rPr>
          <w:rFonts w:ascii="Calibri" w:hAnsi="Calibri"/>
          <w:b/>
          <w:i w:val="0"/>
          <w:color w:val="1B2A32"/>
          <w:sz w:val="21"/>
        </w:rPr>
        <w:t>Neutral:</w:t>
      </w:r>
      <w:r>
        <w:rPr>
          <w:rFonts w:ascii="Calibri" w:hAnsi="Calibri"/>
          <w:b w:val="0"/>
          <w:i w:val="0"/>
          <w:color w:val="1B2A32"/>
          <w:sz w:val="21"/>
        </w:rPr>
        <w:t xml:space="preserve"> appoint a conflict-checked mediator/conciliator; obtain disclosure (F-L06).</w:t>
      </w:r>
    </w:p>
    <w:p>
      <w:pPr>
        <w:pStyle w:val="ListNumber"/>
        <w:spacing w:after="60"/>
        <w:jc w:val="both"/>
      </w:pPr>
      <w:r>
        <w:rPr>
          <w:rFonts w:ascii="Calibri" w:hAnsi="Calibri"/>
          <w:b/>
          <w:i w:val="0"/>
          <w:color w:val="1B2A32"/>
          <w:sz w:val="21"/>
        </w:rPr>
        <w:t>Sessions:</w:t>
      </w:r>
      <w:r>
        <w:rPr>
          <w:rFonts w:ascii="Calibri" w:hAnsi="Calibri"/>
          <w:b w:val="0"/>
          <w:i w:val="0"/>
          <w:color w:val="1B2A32"/>
          <w:sz w:val="21"/>
        </w:rPr>
        <w:t xml:space="preserve"> schedule online sessions; keep the borrower free from coercion; log attendance; manage extensions (F-L20).</w:t>
      </w:r>
    </w:p>
    <w:p>
      <w:pPr>
        <w:pStyle w:val="ListNumber"/>
        <w:spacing w:after="60"/>
        <w:jc w:val="both"/>
      </w:pPr>
      <w:r>
        <w:rPr>
          <w:rFonts w:ascii="Calibri" w:hAnsi="Calibri"/>
          <w:b/>
          <w:i w:val="0"/>
          <w:color w:val="1B2A32"/>
          <w:sz w:val="21"/>
        </w:rPr>
        <w:t>Settlement:</w:t>
      </w:r>
      <w:r>
        <w:rPr>
          <w:rFonts w:ascii="Calibri" w:hAnsi="Calibri"/>
          <w:b w:val="0"/>
          <w:i w:val="0"/>
          <w:color w:val="1B2A32"/>
          <w:sz w:val="21"/>
        </w:rPr>
        <w:t xml:space="preserve"> support the OTS/consent settlement (F-L07/F-L12); set up </w:t>
      </w:r>
      <w:r>
        <w:rPr>
          <w:rFonts w:ascii="Calibri" w:hAnsi="Calibri"/>
          <w:b/>
          <w:i w:val="0"/>
          <w:color w:val="1B2A32"/>
          <w:sz w:val="21"/>
        </w:rPr>
        <w:t>escrow</w:t>
      </w:r>
      <w:r>
        <w:rPr>
          <w:rFonts w:ascii="Calibri" w:hAnsi="Calibri"/>
          <w:b w:val="0"/>
          <w:i w:val="0"/>
          <w:color w:val="1B2A32"/>
          <w:sz w:val="21"/>
        </w:rPr>
        <w:t xml:space="preserve"> (F-L11); confirm penal/interest waiver.</w:t>
      </w:r>
    </w:p>
    <w:p>
      <w:pPr>
        <w:pStyle w:val="ListNumber"/>
        <w:spacing w:after="60"/>
        <w:jc w:val="both"/>
      </w:pPr>
      <w:r>
        <w:rPr>
          <w:rFonts w:ascii="Calibri" w:hAnsi="Calibri"/>
          <w:b/>
          <w:i w:val="0"/>
          <w:color w:val="1B2A32"/>
          <w:sz w:val="21"/>
        </w:rPr>
        <w:t>Closure:</w:t>
      </w:r>
      <w:r>
        <w:rPr>
          <w:rFonts w:ascii="Calibri" w:hAnsi="Calibri"/>
          <w:b w:val="0"/>
          <w:i w:val="0"/>
          <w:color w:val="1B2A32"/>
          <w:sz w:val="21"/>
        </w:rPr>
        <w:t xml:space="preserve"> confirm </w:t>
      </w:r>
      <w:r>
        <w:rPr>
          <w:rFonts w:ascii="Calibri" w:hAnsi="Calibri"/>
          <w:b/>
          <w:i w:val="0"/>
          <w:color w:val="1B2A32"/>
          <w:sz w:val="21"/>
        </w:rPr>
        <w:t>No-Dues/NOC</w:t>
      </w:r>
      <w:r>
        <w:rPr>
          <w:rFonts w:ascii="Calibri" w:hAnsi="Calibri"/>
          <w:b w:val="0"/>
          <w:i w:val="0"/>
          <w:color w:val="1B2A32"/>
          <w:sz w:val="21"/>
        </w:rPr>
        <w:t xml:space="preserve"> and </w:t>
      </w:r>
      <w:r>
        <w:rPr>
          <w:rFonts w:ascii="Calibri" w:hAnsi="Calibri"/>
          <w:b/>
          <w:i w:val="0"/>
          <w:color w:val="1B2A32"/>
          <w:sz w:val="21"/>
        </w:rPr>
        <w:t>credit-bureau correction</w:t>
      </w:r>
      <w:r>
        <w:rPr>
          <w:rFonts w:ascii="Calibri" w:hAnsi="Calibri"/>
          <w:b w:val="0"/>
          <w:i w:val="0"/>
          <w:color w:val="1B2A32"/>
          <w:sz w:val="21"/>
        </w:rPr>
        <w:t xml:space="preserve"> (F-L15); issue the closure report (F-L16); maintain the audit trail.</w:t>
      </w:r>
    </w:p>
    <w:p>
      <w:pPr>
        <w:keepNext/>
        <w:spacing w:before="200" w:after="60"/>
      </w:pPr>
      <w:r>
        <w:rPr>
          <w:rFonts w:ascii="Calibri" w:hAnsi="Calibri"/>
          <w:b/>
          <w:i w:val="0"/>
          <w:color w:val="1E7A8C"/>
          <w:sz w:val="26"/>
        </w:rPr>
        <w:t>3.2 Escrow-officer runbook</w:t>
      </w:r>
    </w:p>
    <w:p>
      <w:pPr>
        <w:pStyle w:val="ListNumber"/>
        <w:spacing w:after="60"/>
        <w:jc w:val="both"/>
      </w:pPr>
      <w:r>
        <w:rPr>
          <w:rFonts w:ascii="Calibri" w:hAnsi="Calibri"/>
          <w:b w:val="0"/>
          <w:i w:val="0"/>
          <w:color w:val="1B2A32"/>
          <w:sz w:val="21"/>
        </w:rPr>
        <w:t>Confirm the escrow instruction (F-L11), agent bank, amount and source; complete KYC/PMLA.</w:t>
      </w:r>
    </w:p>
    <w:p>
      <w:pPr>
        <w:pStyle w:val="ListNumber"/>
        <w:spacing w:after="60"/>
        <w:jc w:val="both"/>
      </w:pPr>
      <w:r>
        <w:rPr>
          <w:rFonts w:ascii="Calibri" w:hAnsi="Calibri"/>
          <w:b w:val="0"/>
          <w:i w:val="0"/>
          <w:color w:val="1B2A32"/>
          <w:sz w:val="21"/>
        </w:rPr>
        <w:t>Confirm cleared funds to both parties.</w:t>
      </w:r>
    </w:p>
    <w:p>
      <w:pPr>
        <w:pStyle w:val="ListNumber"/>
        <w:spacing w:after="60"/>
        <w:jc w:val="both"/>
      </w:pPr>
      <w:r>
        <w:rPr>
          <w:rFonts w:ascii="Calibri" w:hAnsi="Calibri"/>
          <w:b w:val="0"/>
          <w:i w:val="0"/>
          <w:color w:val="1B2A32"/>
          <w:sz w:val="21"/>
        </w:rPr>
        <w:t>Release each tranche only on the agreed milestone (e.g., signed settlement / instalment date); receipt and audit-log.</w:t>
      </w:r>
    </w:p>
    <w:p>
      <w:pPr>
        <w:pStyle w:val="ListNumber"/>
        <w:spacing w:after="60"/>
        <w:jc w:val="both"/>
      </w:pPr>
      <w:r>
        <w:rPr>
          <w:rFonts w:ascii="Calibri" w:hAnsi="Calibri"/>
          <w:b w:val="0"/>
          <w:i w:val="0"/>
          <w:color w:val="1B2A32"/>
          <w:sz w:val="21"/>
        </w:rPr>
        <w:t xml:space="preserve">On the </w:t>
      </w:r>
      <w:r>
        <w:rPr>
          <w:rFonts w:ascii="Calibri" w:hAnsi="Calibri"/>
          <w:b/>
          <w:i w:val="0"/>
          <w:color w:val="1B2A32"/>
          <w:sz w:val="21"/>
        </w:rPr>
        <w:t>final</w:t>
      </w:r>
      <w:r>
        <w:rPr>
          <w:rFonts w:ascii="Calibri" w:hAnsi="Calibri"/>
          <w:b w:val="0"/>
          <w:i w:val="0"/>
          <w:color w:val="1B2A32"/>
          <w:sz w:val="21"/>
        </w:rPr>
        <w:t xml:space="preserve"> release, trigger the </w:t>
      </w:r>
      <w:r>
        <w:rPr>
          <w:rFonts w:ascii="Calibri" w:hAnsi="Calibri"/>
          <w:b/>
          <w:i w:val="0"/>
          <w:color w:val="1B2A32"/>
          <w:sz w:val="21"/>
        </w:rPr>
        <w:t>No-Dues/NOC</w:t>
      </w:r>
      <w:r>
        <w:rPr>
          <w:rFonts w:ascii="Calibri" w:hAnsi="Calibri"/>
          <w:b w:val="0"/>
          <w:i w:val="0"/>
          <w:color w:val="1B2A32"/>
          <w:sz w:val="21"/>
        </w:rPr>
        <w:t xml:space="preserve"> and confirm the lender files the credit-bureau update.</w:t>
      </w:r>
    </w:p>
    <w:p>
      <w:pPr>
        <w:pStyle w:val="ListNumber"/>
        <w:spacing w:after="60"/>
        <w:jc w:val="both"/>
      </w:pPr>
      <w:r>
        <w:rPr>
          <w:rFonts w:ascii="Calibri" w:hAnsi="Calibri"/>
          <w:b w:val="0"/>
          <w:i w:val="0"/>
          <w:color w:val="1B2A32"/>
          <w:sz w:val="21"/>
        </w:rPr>
        <w:t>Apply the fallback if a milestone lapses (revert to mediation or the agreed default clause).</w:t>
      </w:r>
    </w:p>
    <w:p>
      <w:pPr>
        <w:keepNext/>
        <w:spacing w:before="200" w:after="60"/>
      </w:pPr>
      <w:r>
        <w:rPr>
          <w:rFonts w:ascii="Calibri" w:hAnsi="Calibri"/>
          <w:b/>
          <w:i w:val="0"/>
          <w:color w:val="1E7A8C"/>
          <w:sz w:val="26"/>
        </w:rPr>
        <w:t>3.3 Grievance-desk runbook (digital lending &amp; harassment)</w:t>
      </w:r>
    </w:p>
    <w:p>
      <w:pPr>
        <w:pStyle w:val="ListNumber"/>
        <w:spacing w:after="60"/>
        <w:jc w:val="both"/>
      </w:pPr>
      <w:r>
        <w:rPr>
          <w:rFonts w:ascii="Calibri" w:hAnsi="Calibri"/>
          <w:b w:val="0"/>
          <w:i w:val="0"/>
          <w:color w:val="1B2A32"/>
          <w:sz w:val="21"/>
        </w:rPr>
        <w:t>Log the grievance (F-L10 digital-lending / F-L09 harassment); acknowledge within the service window.</w:t>
      </w:r>
    </w:p>
    <w:p>
      <w:pPr>
        <w:pStyle w:val="ListNumber"/>
        <w:spacing w:after="60"/>
        <w:jc w:val="both"/>
      </w:pPr>
      <w:r>
        <w:rPr>
          <w:rFonts w:ascii="Calibri" w:hAnsi="Calibri"/>
          <w:b w:val="0"/>
          <w:i w:val="0"/>
          <w:color w:val="1B2A32"/>
          <w:sz w:val="21"/>
        </w:rPr>
        <w:t xml:space="preserve">For </w:t>
      </w:r>
      <w:r>
        <w:rPr>
          <w:rFonts w:ascii="Calibri" w:hAnsi="Calibri"/>
          <w:b/>
          <w:i w:val="0"/>
          <w:color w:val="1B2A32"/>
          <w:sz w:val="21"/>
        </w:rPr>
        <w:t>harassment</w:t>
      </w:r>
      <w:r>
        <w:rPr>
          <w:rFonts w:ascii="Calibri" w:hAnsi="Calibri"/>
          <w:b w:val="0"/>
          <w:i w:val="0"/>
          <w:color w:val="1B2A32"/>
          <w:sz w:val="21"/>
        </w:rPr>
        <w:t xml:space="preserve">, capture evidence (call logs, messages); escalate to the lender's grievance officer and, if unresolved, flag the </w:t>
      </w:r>
      <w:r>
        <w:rPr>
          <w:rFonts w:ascii="Calibri" w:hAnsi="Calibri"/>
          <w:b/>
          <w:i w:val="0"/>
          <w:color w:val="1B2A32"/>
          <w:sz w:val="21"/>
        </w:rPr>
        <w:t>RBI Ombudsman</w:t>
      </w:r>
      <w:r>
        <w:rPr>
          <w:rFonts w:ascii="Calibri" w:hAnsi="Calibri"/>
          <w:b w:val="0"/>
          <w:i w:val="0"/>
          <w:color w:val="1B2A32"/>
          <w:sz w:val="21"/>
        </w:rPr>
        <w:t xml:space="preserve"> route — and advise the police where there is any threat to safety.</w:t>
      </w:r>
    </w:p>
    <w:p>
      <w:pPr>
        <w:pStyle w:val="ListNumber"/>
        <w:spacing w:after="60"/>
        <w:jc w:val="both"/>
      </w:pPr>
      <w:r>
        <w:rPr>
          <w:rFonts w:ascii="Calibri" w:hAnsi="Calibri"/>
          <w:b w:val="0"/>
          <w:i w:val="0"/>
          <w:color w:val="1B2A32"/>
          <w:sz w:val="21"/>
        </w:rPr>
        <w:t xml:space="preserve">For </w:t>
      </w:r>
      <w:r>
        <w:rPr>
          <w:rFonts w:ascii="Calibri" w:hAnsi="Calibri"/>
          <w:b/>
          <w:i w:val="0"/>
          <w:color w:val="1B2A32"/>
          <w:sz w:val="21"/>
        </w:rPr>
        <w:t>digital-lending</w:t>
      </w:r>
      <w:r>
        <w:rPr>
          <w:rFonts w:ascii="Calibri" w:hAnsi="Calibri"/>
          <w:b w:val="0"/>
          <w:i w:val="0"/>
          <w:color w:val="1B2A32"/>
          <w:sz w:val="21"/>
        </w:rPr>
        <w:t xml:space="preserve"> issues, check the KFS, cooling-off, and consent against the </w:t>
      </w:r>
      <w:r>
        <w:rPr>
          <w:rFonts w:ascii="Calibri" w:hAnsi="Calibri"/>
          <w:b/>
          <w:i w:val="0"/>
          <w:color w:val="1B2A32"/>
          <w:sz w:val="21"/>
        </w:rPr>
        <w:t>RBI Digital Lending Directions 2025</w:t>
      </w:r>
      <w:r>
        <w:rPr>
          <w:rFonts w:ascii="Calibri" w:hAnsi="Calibri"/>
          <w:b w:val="0"/>
          <w:i w:val="0"/>
          <w:color w:val="1B2A32"/>
          <w:sz w:val="21"/>
        </w:rPr>
        <w:t>.</w:t>
      </w:r>
    </w:p>
    <w:p>
      <w:pPr>
        <w:pStyle w:val="ListNumber"/>
        <w:spacing w:after="60"/>
        <w:jc w:val="both"/>
      </w:pPr>
      <w:r>
        <w:rPr>
          <w:rFonts w:ascii="Calibri" w:hAnsi="Calibri"/>
          <w:b w:val="0"/>
          <w:i w:val="0"/>
          <w:color w:val="1B2A32"/>
          <w:sz w:val="21"/>
        </w:rPr>
        <w:t>Run the underlying money dispute to a mediated settlement in parallel.</w:t>
      </w:r>
    </w:p>
    <w:p>
      <w:pPr>
        <w:keepNext/>
        <w:spacing w:before="280" w:after="120"/>
        <w:pBdr>
          <w:bottom w:val="single" w:sz="12" w:space="3" w:color="C6A15B"/>
        </w:pBdr>
      </w:pPr>
      <w:r>
        <w:rPr>
          <w:rFonts w:ascii="Calibri" w:hAnsi="Calibri"/>
          <w:b/>
          <w:i w:val="0"/>
          <w:color w:val="123B4F"/>
          <w:sz w:val="34"/>
        </w:rPr>
        <w:t>Part 4 — Ethics &amp; Borrower Protection</w:t>
      </w:r>
    </w:p>
    <w:tbl>
      <w:tblPr>
        <w:tblW w:type="auto" w:w="0"/>
        <w:tblLook w:firstColumn="1" w:firstRow="1" w:lastColumn="0" w:lastRow="0" w:noHBand="0" w:noVBand="1" w:val="04A0"/>
      </w:tblPr>
      <w:tblGrid>
        <w:gridCol w:w="9648"/>
      </w:tblGrid>
      <w:tr>
        <w:tc>
          <w:tcPr>
            <w:tcW w:type="dxa" w:w="9648"/>
            <w:shd w:val="clear" w:fill="DCEEE4"/>
            <w:tcBorders>
              <w:start w:val="single" w:sz="22" w:space="0" w:color="2E7D5B"/>
            </w:tcBorders>
          </w:tcPr>
          <w:p>
            <w:r>
              <w:rPr>
                <w:rFonts w:ascii="Calibri" w:hAnsi="Calibri"/>
                <w:b/>
                <w:i w:val="0"/>
                <w:color w:val="2E7D5B"/>
                <w:sz w:val="18"/>
              </w:rPr>
              <w:t>Neutrality &amp; no coercion</w:t>
            </w:r>
          </w:p>
          <w:p>
            <w:r>
              <w:rPr>
                <w:rFonts w:ascii="Calibri" w:hAnsi="Calibri"/>
                <w:b w:val="0"/>
                <w:i w:val="0"/>
                <w:color w:val="1B2A32"/>
                <w:sz w:val="19"/>
              </w:rPr>
              <w:t>Never pressure a borrower into a settlement they cannot afford, and never lend the institution's weight to a lender's recovery. A settlement must be genuinely voluntary.</w:t>
            </w:r>
          </w:p>
        </w:tc>
      </w:tr>
    </w:tbl>
    <w:p>
      <w:pPr>
        <w:spacing w:after="40"/>
      </w:pPr>
    </w:p>
    <w:tbl>
      <w:tblPr>
        <w:tblW w:type="auto" w:w="0"/>
        <w:tblLook w:firstColumn="1" w:firstRow="1" w:lastColumn="0" w:lastRow="0" w:noHBand="0" w:noVBand="1" w:val="04A0"/>
      </w:tblPr>
      <w:tblGrid>
        <w:gridCol w:w="9648"/>
      </w:tblGrid>
      <w:tr>
        <w:tc>
          <w:tcPr>
            <w:tcW w:type="dxa" w:w="9648"/>
            <w:shd w:val="clear" w:fill="F5ECD6"/>
            <w:tcBorders>
              <w:start w:val="single" w:sz="22" w:space="0" w:color="C6A15B"/>
            </w:tcBorders>
          </w:tcPr>
          <w:p>
            <w:r>
              <w:rPr>
                <w:rFonts w:ascii="Calibri" w:hAnsi="Calibri"/>
                <w:b/>
                <w:i w:val="0"/>
                <w:color w:val="123B4F"/>
                <w:sz w:val="18"/>
              </w:rPr>
              <w:t>Confidentiality</w:t>
            </w:r>
          </w:p>
          <w:p>
            <w:r>
              <w:rPr>
                <w:rFonts w:ascii="Calibri" w:hAnsi="Calibri"/>
                <w:b w:val="0"/>
                <w:i w:val="0"/>
                <w:color w:val="1B2A32"/>
                <w:sz w:val="19"/>
              </w:rPr>
              <w:t>Keep each party's financial information within the process; do not disclose a borrower's circumstances beyond what the settlement requires.</w:t>
            </w:r>
          </w:p>
        </w:tc>
      </w:tr>
    </w:tbl>
    <w:p>
      <w:pPr>
        <w:spacing w:after="40"/>
      </w:pPr>
    </w:p>
    <w:tbl>
      <w:tblPr>
        <w:tblW w:type="auto" w:w="0"/>
        <w:tblLook w:firstColumn="1" w:firstRow="1" w:lastColumn="0" w:lastRow="0" w:noHBand="0" w:noVBand="1" w:val="04A0"/>
      </w:tblPr>
      <w:tblGrid>
        <w:gridCol w:w="9648"/>
      </w:tblGrid>
      <w:tr>
        <w:tc>
          <w:tcPr>
            <w:tcW w:type="dxa" w:w="9648"/>
            <w:shd w:val="clear" w:fill="F5ECD6"/>
            <w:tcBorders>
              <w:start w:val="single" w:sz="22" w:space="0" w:color="C6A15B"/>
            </w:tcBorders>
          </w:tcPr>
          <w:p>
            <w:r>
              <w:rPr>
                <w:rFonts w:ascii="Calibri" w:hAnsi="Calibri"/>
                <w:b/>
                <w:i w:val="0"/>
                <w:color w:val="123B4F"/>
                <w:sz w:val="18"/>
              </w:rPr>
              <w:t>Disclosure &amp; independence</w:t>
            </w:r>
          </w:p>
          <w:p>
            <w:r>
              <w:rPr>
                <w:rFonts w:ascii="Calibri" w:hAnsi="Calibri"/>
                <w:b w:val="0"/>
                <w:i w:val="0"/>
                <w:color w:val="1B2A32"/>
                <w:sz w:val="19"/>
              </w:rPr>
              <w:t>Disclose any connection to a lender, LSP or party; decline or withdraw on any conflict. The duty to disclose continues throughout.</w:t>
            </w:r>
          </w:p>
        </w:tc>
      </w:tr>
    </w:tbl>
    <w:p>
      <w:pPr>
        <w:spacing w:after="40"/>
      </w:pPr>
    </w:p>
    <w:tbl>
      <w:tblPr>
        <w:tblW w:type="auto" w:w="0"/>
        <w:tblLook w:firstColumn="1" w:firstRow="1" w:lastColumn="0" w:lastRow="0" w:noHBand="0" w:noVBand="1" w:val="04A0"/>
      </w:tblPr>
      <w:tblGrid>
        <w:gridCol w:w="9648"/>
      </w:tblGrid>
      <w:tr>
        <w:tc>
          <w:tcPr>
            <w:tcW w:type="dxa" w:w="9648"/>
            <w:shd w:val="clear" w:fill="F5ECD6"/>
            <w:tcBorders>
              <w:start w:val="single" w:sz="22" w:space="0" w:color="C6A15B"/>
            </w:tcBorders>
          </w:tcPr>
          <w:p>
            <w:r>
              <w:rPr>
                <w:rFonts w:ascii="Calibri" w:hAnsi="Calibri"/>
                <w:b/>
                <w:i w:val="0"/>
                <w:color w:val="123B4F"/>
                <w:sz w:val="18"/>
              </w:rPr>
              <w:t>Accurate credit reporting</w:t>
            </w:r>
          </w:p>
          <w:p>
            <w:r>
              <w:rPr>
                <w:rFonts w:ascii="Calibri" w:hAnsi="Calibri"/>
                <w:b w:val="0"/>
                <w:i w:val="0"/>
                <w:color w:val="1B2A32"/>
                <w:sz w:val="19"/>
              </w:rPr>
              <w:t>A settlement must record the correct account status for the credit bureaus — do not agree language that misstates the borrower's record.</w:t>
            </w:r>
          </w:p>
        </w:tc>
      </w:tr>
    </w:tbl>
    <w:p>
      <w:pPr>
        <w:spacing w:after="40"/>
      </w:pPr>
    </w:p>
    <w:tbl>
      <w:tblPr>
        <w:tblW w:type="auto" w:w="0"/>
        <w:tblLook w:firstColumn="1" w:firstRow="1" w:lastColumn="0" w:lastRow="0" w:noHBand="0" w:noVBand="1" w:val="04A0"/>
      </w:tblPr>
      <w:tblGrid>
        <w:gridCol w:w="9648"/>
      </w:tblGrid>
      <w:tr>
        <w:tc>
          <w:tcPr>
            <w:tcW w:type="dxa" w:w="9648"/>
            <w:shd w:val="clear" w:fill="F6E0E4"/>
            <w:tcBorders>
              <w:start w:val="single" w:sz="22" w:space="0" w:color="B23A48"/>
            </w:tcBorders>
          </w:tcPr>
          <w:p>
            <w:r>
              <w:rPr>
                <w:rFonts w:ascii="Calibri" w:hAnsi="Calibri"/>
                <w:b/>
                <w:i w:val="0"/>
                <w:color w:val="B23A48"/>
                <w:sz w:val="18"/>
              </w:rPr>
              <w:t>Vulnerable borrowers</w:t>
            </w:r>
          </w:p>
          <w:p>
            <w:r>
              <w:rPr>
                <w:rFonts w:ascii="Calibri" w:hAnsi="Calibri"/>
                <w:b w:val="0"/>
                <w:i w:val="0"/>
                <w:color w:val="1B2A32"/>
                <w:sz w:val="19"/>
              </w:rPr>
              <w:t>Watch for distress, coercion or lack of understanding; allow time for advice; where a borrower appears unable to give informed consent, pause and signpost support.</w:t>
            </w:r>
          </w:p>
        </w:tc>
      </w:tr>
    </w:tbl>
    <w:p>
      <w:pPr>
        <w:spacing w:after="40"/>
      </w:pPr>
    </w:p>
    <w:p>
      <w:pPr>
        <w:keepNext/>
        <w:spacing w:before="280" w:after="120"/>
        <w:pBdr>
          <w:bottom w:val="single" w:sz="12" w:space="3" w:color="C6A15B"/>
        </w:pBdr>
      </w:pPr>
      <w:r>
        <w:rPr>
          <w:rFonts w:ascii="Calibri" w:hAnsi="Calibri"/>
          <w:b/>
          <w:i w:val="0"/>
          <w:color w:val="123B4F"/>
          <w:sz w:val="34"/>
        </w:rPr>
        <w:t>Part 5 — Checklists</w:t>
      </w:r>
    </w:p>
    <w:p>
      <w:pPr>
        <w:keepNext/>
        <w:spacing w:before="200" w:after="60"/>
      </w:pPr>
      <w:r>
        <w:rPr>
          <w:rFonts w:ascii="Calibri" w:hAnsi="Calibri"/>
          <w:b/>
          <w:i w:val="0"/>
          <w:color w:val="1E7A8C"/>
          <w:sz w:val="26"/>
        </w:rPr>
        <w:t>Intake &amp; route checklist</w:t>
      </w:r>
    </w:p>
    <w:p>
      <w:pPr>
        <w:pStyle w:val="ListBullet"/>
        <w:spacing w:after="60"/>
        <w:jc w:val="both"/>
      </w:pPr>
      <w:r>
        <w:rPr>
          <w:rFonts w:ascii="Calibri" w:hAnsi="Calibri"/>
          <w:b w:val="0"/>
          <w:i w:val="0"/>
          <w:color w:val="1B2A32"/>
          <w:sz w:val="21"/>
        </w:rPr>
        <w:t>KYC/KYB &amp; consent verified (F-L01)</w:t>
      </w:r>
    </w:p>
    <w:p>
      <w:pPr>
        <w:pStyle w:val="ListBullet"/>
        <w:spacing w:after="60"/>
        <w:jc w:val="both"/>
      </w:pPr>
      <w:r>
        <w:rPr>
          <w:rFonts w:ascii="Calibri" w:hAnsi="Calibri"/>
          <w:b w:val="0"/>
          <w:i w:val="0"/>
          <w:color w:val="1B2A32"/>
          <w:sz w:val="21"/>
        </w:rPr>
        <w:t>Dispute type &amp; route confirmed (triage)</w:t>
      </w:r>
    </w:p>
    <w:p>
      <w:pPr>
        <w:pStyle w:val="ListBullet"/>
        <w:spacing w:after="60"/>
        <w:jc w:val="both"/>
      </w:pPr>
      <w:r>
        <w:rPr>
          <w:rFonts w:ascii="Calibri" w:hAnsi="Calibri"/>
          <w:b w:val="0"/>
          <w:i w:val="0"/>
          <w:color w:val="1B2A32"/>
          <w:sz w:val="21"/>
        </w:rPr>
        <w:t>Not in exclusive DRT/SARFAESI lane / Ombudsman timeline checked</w:t>
      </w:r>
    </w:p>
    <w:p>
      <w:pPr>
        <w:pStyle w:val="ListBullet"/>
        <w:spacing w:after="60"/>
        <w:jc w:val="both"/>
      </w:pPr>
      <w:r>
        <w:rPr>
          <w:rFonts w:ascii="Calibri" w:hAnsi="Calibri"/>
          <w:b w:val="0"/>
          <w:i w:val="0"/>
          <w:color w:val="1B2A32"/>
          <w:sz w:val="21"/>
        </w:rPr>
        <w:t>Case registered; neutral conflict-cleared (F-L06)</w:t>
      </w:r>
    </w:p>
    <w:p>
      <w:pPr>
        <w:keepNext/>
        <w:spacing w:before="200" w:after="60"/>
      </w:pPr>
      <w:r>
        <w:rPr>
          <w:rFonts w:ascii="Calibri" w:hAnsi="Calibri"/>
          <w:b/>
          <w:i w:val="0"/>
          <w:color w:val="1E7A8C"/>
          <w:sz w:val="26"/>
        </w:rPr>
        <w:t>Settlement checklist</w:t>
      </w:r>
    </w:p>
    <w:p>
      <w:pPr>
        <w:pStyle w:val="ListBullet"/>
        <w:spacing w:after="60"/>
        <w:jc w:val="both"/>
      </w:pPr>
      <w:r>
        <w:rPr>
          <w:rFonts w:ascii="Calibri" w:hAnsi="Calibri"/>
          <w:b w:val="0"/>
          <w:i w:val="0"/>
          <w:color w:val="1B2A32"/>
          <w:sz w:val="21"/>
        </w:rPr>
        <w:t>Total dues verified from statement of account</w:t>
      </w:r>
    </w:p>
    <w:p>
      <w:pPr>
        <w:pStyle w:val="ListBullet"/>
        <w:spacing w:after="60"/>
        <w:jc w:val="both"/>
      </w:pPr>
      <w:r>
        <w:rPr>
          <w:rFonts w:ascii="Calibri" w:hAnsi="Calibri"/>
          <w:b w:val="0"/>
          <w:i w:val="0"/>
          <w:color w:val="1B2A32"/>
          <w:sz w:val="21"/>
        </w:rPr>
        <w:t>OTS figure within lender's board-approved policy</w:t>
      </w:r>
    </w:p>
    <w:p>
      <w:pPr>
        <w:pStyle w:val="ListBullet"/>
        <w:spacing w:after="60"/>
        <w:jc w:val="both"/>
      </w:pPr>
      <w:r>
        <w:rPr>
          <w:rFonts w:ascii="Calibri" w:hAnsi="Calibri"/>
          <w:b w:val="0"/>
          <w:i w:val="0"/>
          <w:color w:val="1B2A32"/>
          <w:sz w:val="21"/>
        </w:rPr>
        <w:t>Penal/interest waiver captured expressly</w:t>
      </w:r>
    </w:p>
    <w:p>
      <w:pPr>
        <w:pStyle w:val="ListBullet"/>
        <w:spacing w:after="60"/>
        <w:jc w:val="both"/>
      </w:pPr>
      <w:r>
        <w:rPr>
          <w:rFonts w:ascii="Calibri" w:hAnsi="Calibri"/>
          <w:b w:val="0"/>
          <w:i w:val="0"/>
          <w:color w:val="1B2A32"/>
          <w:sz w:val="21"/>
        </w:rPr>
        <w:t>Escrow instruction in place (F-L11); payment schedule agreed</w:t>
      </w:r>
    </w:p>
    <w:p>
      <w:pPr>
        <w:pStyle w:val="ListBullet"/>
        <w:spacing w:after="60"/>
        <w:jc w:val="both"/>
      </w:pPr>
      <w:r>
        <w:rPr>
          <w:rFonts w:ascii="Calibri" w:hAnsi="Calibri"/>
          <w:b w:val="0"/>
          <w:i w:val="0"/>
          <w:color w:val="1B2A32"/>
          <w:sz w:val="21"/>
        </w:rPr>
        <w:t>Both sides had the chance to take legal advice</w:t>
      </w:r>
    </w:p>
    <w:p>
      <w:pPr>
        <w:keepNext/>
        <w:spacing w:before="200" w:after="60"/>
      </w:pPr>
      <w:r>
        <w:rPr>
          <w:rFonts w:ascii="Calibri" w:hAnsi="Calibri"/>
          <w:b/>
          <w:i w:val="0"/>
          <w:color w:val="1E7A8C"/>
          <w:sz w:val="26"/>
        </w:rPr>
        <w:t>Closure checklist</w:t>
      </w:r>
    </w:p>
    <w:p>
      <w:pPr>
        <w:pStyle w:val="ListBullet"/>
        <w:spacing w:after="60"/>
        <w:jc w:val="both"/>
      </w:pPr>
      <w:r>
        <w:rPr>
          <w:rFonts w:ascii="Calibri" w:hAnsi="Calibri"/>
          <w:b w:val="0"/>
          <w:i w:val="0"/>
          <w:color w:val="1B2A32"/>
          <w:sz w:val="21"/>
        </w:rPr>
        <w:t>Settlement e-signed &amp; e-stamped (F-L12)</w:t>
      </w:r>
    </w:p>
    <w:p>
      <w:pPr>
        <w:pStyle w:val="ListBullet"/>
        <w:spacing w:after="60"/>
        <w:jc w:val="both"/>
      </w:pPr>
      <w:r>
        <w:rPr>
          <w:rFonts w:ascii="Calibri" w:hAnsi="Calibri"/>
          <w:b w:val="0"/>
          <w:i w:val="0"/>
          <w:color w:val="1B2A32"/>
          <w:sz w:val="21"/>
        </w:rPr>
        <w:t>Escrow released on milestones; final release done</w:t>
      </w:r>
    </w:p>
    <w:p>
      <w:pPr>
        <w:pStyle w:val="ListBullet"/>
        <w:spacing w:after="60"/>
        <w:jc w:val="both"/>
      </w:pPr>
      <w:r>
        <w:rPr>
          <w:rFonts w:ascii="Calibri" w:hAnsi="Calibri"/>
          <w:b w:val="0"/>
          <w:i w:val="0"/>
          <w:color w:val="1B2A32"/>
          <w:sz w:val="21"/>
        </w:rPr>
        <w:t>No-Dues/NOC issued (F-L15)</w:t>
      </w:r>
    </w:p>
    <w:p>
      <w:pPr>
        <w:pStyle w:val="ListBullet"/>
        <w:spacing w:after="60"/>
        <w:jc w:val="both"/>
      </w:pPr>
      <w:r>
        <w:rPr>
          <w:rFonts w:ascii="Calibri" w:hAnsi="Calibri"/>
          <w:b w:val="0"/>
          <w:i w:val="0"/>
          <w:color w:val="1B2A32"/>
          <w:sz w:val="21"/>
        </w:rPr>
        <w:t>Credit-bureau correction filed by lender</w:t>
      </w:r>
    </w:p>
    <w:p>
      <w:pPr>
        <w:pStyle w:val="ListBullet"/>
        <w:spacing w:after="60"/>
        <w:jc w:val="both"/>
      </w:pPr>
      <w:r>
        <w:rPr>
          <w:rFonts w:ascii="Calibri" w:hAnsi="Calibri"/>
          <w:b w:val="0"/>
          <w:i w:val="0"/>
          <w:color w:val="1B2A32"/>
          <w:sz w:val="21"/>
        </w:rPr>
        <w:t>Closure report issued (F-L16); repository &amp; audit trail complete</w:t>
      </w:r>
    </w:p>
    <w:p>
      <w:pPr>
        <w:spacing w:before="200"/>
      </w:pPr>
      <w:r>
        <w:rPr>
          <w:rFonts w:ascii="Calibri" w:hAnsi="Calibri"/>
          <w:b w:val="0"/>
          <w:i/>
          <w:color w:val="556168"/>
          <w:sz w:val="17"/>
        </w:rPr>
        <w:t>Equator Resolution is a neutral mediation/conciliation &amp; settlement institution; it complements, and does not replace, the RBI Ombudsman, the DRT or the courts. This toolkit is operational guidance, not legal advice. Confirm the current RBI circulars and statutory provisions before go-live.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B1DE7EA-D0E4-4854-8AB6-7F5F917D8168}"/>
</file>

<file path=customXml/itemProps3.xml><?xml version="1.0" encoding="utf-8"?>
<ds:datastoreItem xmlns:ds="http://schemas.openxmlformats.org/officeDocument/2006/customXml" ds:itemID="{E3DE9AA0-59DA-4BFD-9CF7-D78F81CE36C4}"/>
</file>

<file path=customXml/itemProps4.xml><?xml version="1.0" encoding="utf-8"?>
<ds:datastoreItem xmlns:ds="http://schemas.openxmlformats.org/officeDocument/2006/customXml" ds:itemID="{FA0F6305-5B71-4AB6-A42C-6C30D3762B6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