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23B4F"/>
          <w:sz w:val="28"/>
        </w:rPr>
        <w:t>EQUATOR RESOLUTION</w:t>
      </w:r>
    </w:p>
    <w:p>
      <w:pPr>
        <w:spacing w:after="40"/>
        <w:jc w:val="center"/>
      </w:pPr>
      <w:r>
        <w:rPr>
          <w:rFonts w:ascii="Calibri" w:hAnsi="Calibri"/>
          <w:b w:val="0"/>
          <w:i w:val="0"/>
          <w:color w:val="556168"/>
          <w:sz w:val="19"/>
        </w:rPr>
        <w:t>www.equatorresolution.com  ·  Mediation, Conciliation &amp; Settlement</w:t>
      </w:r>
    </w:p>
    <w:p>
      <w:pPr>
        <w:pBdr>
          <w:bottom w:val="single" w:sz="14" w:space="1" w:color="C6A15B"/>
        </w:pBdr>
      </w:pPr>
    </w:p>
    <w:p>
      <w:pPr>
        <w:spacing w:before="160"/>
        <w:jc w:val="center"/>
      </w:pPr>
      <w:r>
        <w:rPr>
          <w:rFonts w:ascii="Calibri" w:hAnsi="Calibri"/>
          <w:b/>
          <w:i w:val="0"/>
          <w:color w:val="123B4F"/>
          <w:sz w:val="44"/>
        </w:rPr>
        <w:t>Settle a Loan Dispute — Fairly, and in Weeks</w:t>
      </w:r>
    </w:p>
    <w:p>
      <w:pPr>
        <w:jc w:val="center"/>
      </w:pPr>
      <w:r>
        <w:rPr>
          <w:rFonts w:ascii="Calibri" w:hAnsi="Calibri"/>
          <w:b w:val="0"/>
          <w:i/>
          <w:color w:val="1E7A8C"/>
          <w:sz w:val="24"/>
        </w:rPr>
        <w:t>A guide for borrowers and lenders</w:t>
      </w:r>
    </w:p>
    <w:p>
      <w:pPr>
        <w:spacing w:after="160"/>
      </w:pPr>
      <w:r>
        <w:rPr>
          <w:rFonts w:ascii="Calibri" w:hAnsi="Calibri"/>
          <w:b w:val="0"/>
          <w:i w:val="0"/>
          <w:color w:val="1B2A32"/>
          <w:sz w:val="23"/>
        </w:rPr>
        <w:t xml:space="preserve">A loan dispute does not have to mean years in court, endless recovery calls, or a scar on your credit record. Equator Resolution is an </w:t>
      </w:r>
      <w:r>
        <w:rPr>
          <w:rFonts w:ascii="Calibri" w:hAnsi="Calibri"/>
          <w:b/>
          <w:i w:val="0"/>
          <w:color w:val="1B2A32"/>
          <w:sz w:val="23"/>
        </w:rPr>
        <w:t>institutional mediation and settlement centre</w:t>
      </w:r>
      <w:r>
        <w:rPr>
          <w:rFonts w:ascii="Calibri" w:hAnsi="Calibri"/>
          <w:b w:val="0"/>
          <w:i w:val="0"/>
          <w:color w:val="1B2A32"/>
          <w:sz w:val="23"/>
        </w:rPr>
        <w:t xml:space="preserve"> that helps borrowers and lenders reach a fair, binding settlement — quickly, confidentially, and fully online.</w:t>
      </w:r>
    </w:p>
    <w:p>
      <w:pPr>
        <w:spacing w:before="200" w:after="60"/>
      </w:pPr>
      <w:r>
        <w:rPr>
          <w:rFonts w:ascii="Calibri" w:hAnsi="Calibri"/>
          <w:b/>
          <w:i w:val="0"/>
          <w:color w:val="123B4F"/>
          <w:sz w:val="30"/>
        </w:rPr>
        <w:t>What we help with</w:t>
      </w:r>
    </w:p>
    <w:p>
      <w:pPr>
        <w:pStyle w:val="ListBullet"/>
        <w:spacing w:after="80"/>
      </w:pPr>
      <w:r>
        <w:rPr>
          <w:rFonts w:ascii="Calibri" w:hAnsi="Calibri"/>
          <w:b/>
          <w:i w:val="0"/>
          <w:color w:val="1B2A32"/>
          <w:sz w:val="23"/>
        </w:rPr>
        <w:t>Loan default &amp; one-time settlement (OTS)</w:t>
      </w:r>
      <w:r>
        <w:rPr>
          <w:rFonts w:ascii="Calibri" w:hAnsi="Calibri"/>
          <w:b w:val="0"/>
          <w:i w:val="0"/>
          <w:color w:val="1B2A32"/>
          <w:sz w:val="23"/>
        </w:rPr>
        <w:t xml:space="preserve"> — a negotiated figure, penal charges often waived, paid in one shot or on a schedule.</w:t>
      </w:r>
    </w:p>
    <w:p>
      <w:pPr>
        <w:pStyle w:val="ListBullet"/>
        <w:spacing w:after="80"/>
      </w:pPr>
      <w:r>
        <w:rPr>
          <w:rFonts w:ascii="Calibri" w:hAnsi="Calibri"/>
          <w:b/>
          <w:i w:val="0"/>
          <w:color w:val="1B2A32"/>
          <w:sz w:val="23"/>
        </w:rPr>
        <w:t>Cheque bounce (Section 138)</w:t>
      </w:r>
      <w:r>
        <w:rPr>
          <w:rFonts w:ascii="Calibri" w:hAnsi="Calibri"/>
          <w:b w:val="0"/>
          <w:i w:val="0"/>
          <w:color w:val="1B2A32"/>
          <w:sz w:val="23"/>
        </w:rPr>
        <w:t xml:space="preserve"> — settle and compound the case instead of fighting it out.</w:t>
      </w:r>
    </w:p>
    <w:p>
      <w:pPr>
        <w:pStyle w:val="ListBullet"/>
        <w:spacing w:after="80"/>
      </w:pPr>
      <w:r>
        <w:rPr>
          <w:rFonts w:ascii="Calibri" w:hAnsi="Calibri"/>
          <w:b/>
          <w:i w:val="0"/>
          <w:color w:val="1B2A32"/>
          <w:sz w:val="23"/>
        </w:rPr>
        <w:t>Wrong or excess charges &amp; mis-selling</w:t>
      </w:r>
      <w:r>
        <w:rPr>
          <w:rFonts w:ascii="Calibri" w:hAnsi="Calibri"/>
          <w:b w:val="0"/>
          <w:i w:val="0"/>
          <w:color w:val="1B2A32"/>
          <w:sz w:val="23"/>
        </w:rPr>
        <w:t xml:space="preserve"> — put right as part of the settlement.</w:t>
      </w:r>
    </w:p>
    <w:p>
      <w:pPr>
        <w:pStyle w:val="ListBullet"/>
        <w:spacing w:after="80"/>
      </w:pPr>
      <w:r>
        <w:rPr>
          <w:rFonts w:ascii="Calibri" w:hAnsi="Calibri"/>
          <w:b/>
          <w:i w:val="0"/>
          <w:color w:val="1B2A32"/>
          <w:sz w:val="23"/>
        </w:rPr>
        <w:t>Digital-lending &amp; app grievances</w:t>
      </w:r>
      <w:r>
        <w:rPr>
          <w:rFonts w:ascii="Calibri" w:hAnsi="Calibri"/>
          <w:b w:val="0"/>
          <w:i w:val="0"/>
          <w:color w:val="1B2A32"/>
          <w:sz w:val="23"/>
        </w:rPr>
        <w:t xml:space="preserve"> — checked against the RBI's 2025 lending rules.</w:t>
      </w:r>
    </w:p>
    <w:p>
      <w:pPr>
        <w:pStyle w:val="ListBullet"/>
        <w:spacing w:after="80"/>
      </w:pPr>
      <w:r>
        <w:rPr>
          <w:rFonts w:ascii="Calibri" w:hAnsi="Calibri"/>
          <w:b/>
          <w:i w:val="0"/>
          <w:color w:val="1B2A32"/>
          <w:sz w:val="23"/>
        </w:rPr>
        <w:t>Recovery-agent harassment</w:t>
      </w:r>
      <w:r>
        <w:rPr>
          <w:rFonts w:ascii="Calibri" w:hAnsi="Calibri"/>
          <w:b w:val="0"/>
          <w:i w:val="0"/>
          <w:color w:val="1B2A32"/>
          <w:sz w:val="23"/>
        </w:rPr>
        <w:t xml:space="preserve"> — escalated, while the underlying debt is settled.</w:t>
      </w:r>
    </w:p>
    <w:p>
      <w:pPr>
        <w:pStyle w:val="ListBullet"/>
        <w:spacing w:after="80"/>
      </w:pPr>
      <w:r>
        <w:rPr>
          <w:rFonts w:ascii="Calibri" w:hAnsi="Calibri"/>
          <w:b w:val="0"/>
          <w:i w:val="0"/>
          <w:color w:val="1B2A32"/>
          <w:sz w:val="23"/>
        </w:rPr>
        <w:t xml:space="preserve">Not sure where to start? Our </w:t>
      </w:r>
      <w:r>
        <w:rPr>
          <w:rFonts w:ascii="Calibri" w:hAnsi="Calibri"/>
          <w:b/>
          <w:i w:val="0"/>
          <w:color w:val="1B2A32"/>
          <w:sz w:val="23"/>
        </w:rPr>
        <w:t>AI Dispute Explorer</w:t>
      </w:r>
      <w:r>
        <w:rPr>
          <w:rFonts w:ascii="Calibri" w:hAnsi="Calibri"/>
          <w:b w:val="0"/>
          <w:i w:val="0"/>
          <w:color w:val="1B2A32"/>
          <w:sz w:val="23"/>
        </w:rPr>
        <w:t xml:space="preserve"> recommends the route, explains your rights, and drafts your complaint.</w:t>
      </w:r>
    </w:p>
    <w:p>
      <w:pPr>
        <w:spacing w:before="200" w:after="60"/>
      </w:pPr>
      <w:r>
        <w:rPr>
          <w:rFonts w:ascii="Calibri" w:hAnsi="Calibri"/>
          <w:b/>
          <w:i w:val="0"/>
          <w:color w:val="123B4F"/>
          <w:sz w:val="30"/>
        </w:rPr>
        <w:t>Why borrowers and lenders choose Equator</w:t>
      </w:r>
    </w:p>
    <w:p>
      <w:pPr>
        <w:pStyle w:val="ListBullet"/>
        <w:spacing w:after="80"/>
      </w:pPr>
      <w:r>
        <w:rPr>
          <w:rFonts w:ascii="Calibri" w:hAnsi="Calibri"/>
          <w:b/>
          <w:i w:val="0"/>
          <w:color w:val="1B2A32"/>
          <w:sz w:val="23"/>
        </w:rPr>
        <w:t>Fair &amp; neutral</w:t>
      </w:r>
      <w:r>
        <w:rPr>
          <w:rFonts w:ascii="Calibri" w:hAnsi="Calibri"/>
          <w:b w:val="0"/>
          <w:i w:val="0"/>
          <w:color w:val="1B2A32"/>
          <w:sz w:val="23"/>
        </w:rPr>
        <w:t xml:space="preserve"> — we act for neither side; no coercion, no harassment.</w:t>
      </w:r>
    </w:p>
    <w:p>
      <w:pPr>
        <w:pStyle w:val="ListBullet"/>
        <w:spacing w:after="80"/>
      </w:pPr>
      <w:r>
        <w:rPr>
          <w:rFonts w:ascii="Calibri" w:hAnsi="Calibri"/>
          <w:b/>
          <w:i w:val="0"/>
          <w:color w:val="1B2A32"/>
          <w:sz w:val="23"/>
        </w:rPr>
        <w:t>A clean exit</w:t>
      </w:r>
      <w:r>
        <w:rPr>
          <w:rFonts w:ascii="Calibri" w:hAnsi="Calibri"/>
          <w:b w:val="0"/>
          <w:i w:val="0"/>
          <w:color w:val="1B2A32"/>
          <w:sz w:val="23"/>
        </w:rPr>
        <w:t xml:space="preserve"> — a </w:t>
      </w:r>
      <w:r>
        <w:rPr>
          <w:rFonts w:ascii="Calibri" w:hAnsi="Calibri"/>
          <w:b/>
          <w:i w:val="0"/>
          <w:color w:val="1B2A32"/>
          <w:sz w:val="23"/>
        </w:rPr>
        <w:t>No-Dues/NOC</w:t>
      </w:r>
      <w:r>
        <w:rPr>
          <w:rFonts w:ascii="Calibri" w:hAnsi="Calibri"/>
          <w:b w:val="0"/>
          <w:i w:val="0"/>
          <w:color w:val="1B2A32"/>
          <w:sz w:val="23"/>
        </w:rPr>
        <w:t xml:space="preserve"> on final payment, and your </w:t>
      </w:r>
      <w:r>
        <w:rPr>
          <w:rFonts w:ascii="Calibri" w:hAnsi="Calibri"/>
          <w:b/>
          <w:i w:val="0"/>
          <w:color w:val="1B2A32"/>
          <w:sz w:val="23"/>
        </w:rPr>
        <w:t>credit record updated</w:t>
      </w:r>
      <w:r>
        <w:rPr>
          <w:rFonts w:ascii="Calibri" w:hAnsi="Calibri"/>
          <w:b w:val="0"/>
          <w:i w:val="0"/>
          <w:color w:val="1B2A32"/>
          <w:sz w:val="23"/>
        </w:rPr>
        <w:t xml:space="preserve"> to ‘settled/closed’.</w:t>
      </w:r>
    </w:p>
    <w:p>
      <w:pPr>
        <w:pStyle w:val="ListBullet"/>
        <w:spacing w:after="80"/>
      </w:pPr>
      <w:r>
        <w:rPr>
          <w:rFonts w:ascii="Calibri" w:hAnsi="Calibri"/>
          <w:b/>
          <w:i w:val="0"/>
          <w:color w:val="1B2A32"/>
          <w:sz w:val="23"/>
        </w:rPr>
        <w:t>Binding &amp; enforceable</w:t>
      </w:r>
      <w:r>
        <w:rPr>
          <w:rFonts w:ascii="Calibri" w:hAnsi="Calibri"/>
          <w:b w:val="0"/>
          <w:i w:val="0"/>
          <w:color w:val="1B2A32"/>
          <w:sz w:val="23"/>
        </w:rPr>
        <w:t xml:space="preserve"> — a settlement enforceable as a court decree (Mediation Act, s.27); or recorded in a </w:t>
      </w:r>
      <w:r>
        <w:rPr>
          <w:rFonts w:ascii="Calibri" w:hAnsi="Calibri"/>
          <w:b/>
          <w:i w:val="0"/>
          <w:color w:val="1B2A32"/>
          <w:sz w:val="23"/>
        </w:rPr>
        <w:t>Lok Adalat</w:t>
      </w:r>
      <w:r>
        <w:rPr>
          <w:rFonts w:ascii="Calibri" w:hAnsi="Calibri"/>
          <w:b w:val="0"/>
          <w:i w:val="0"/>
          <w:color w:val="1B2A32"/>
          <w:sz w:val="23"/>
        </w:rPr>
        <w:t>.</w:t>
      </w:r>
    </w:p>
    <w:p>
      <w:pPr>
        <w:pStyle w:val="ListBullet"/>
        <w:spacing w:after="80"/>
      </w:pPr>
      <w:r>
        <w:rPr>
          <w:rFonts w:ascii="Calibri" w:hAnsi="Calibri"/>
          <w:b/>
          <w:i w:val="0"/>
          <w:color w:val="1B2A32"/>
          <w:sz w:val="23"/>
        </w:rPr>
        <w:t>Money secured</w:t>
      </w:r>
      <w:r>
        <w:rPr>
          <w:rFonts w:ascii="Calibri" w:hAnsi="Calibri"/>
          <w:b w:val="0"/>
          <w:i w:val="0"/>
          <w:color w:val="1B2A32"/>
          <w:sz w:val="23"/>
        </w:rPr>
        <w:t xml:space="preserve"> — settlement sums held in </w:t>
      </w:r>
      <w:r>
        <w:rPr>
          <w:rFonts w:ascii="Calibri" w:hAnsi="Calibri"/>
          <w:b/>
          <w:i w:val="0"/>
          <w:color w:val="1B2A32"/>
          <w:sz w:val="23"/>
        </w:rPr>
        <w:t>escrow</w:t>
      </w:r>
      <w:r>
        <w:rPr>
          <w:rFonts w:ascii="Calibri" w:hAnsi="Calibri"/>
          <w:b w:val="0"/>
          <w:i w:val="0"/>
          <w:color w:val="1B2A32"/>
          <w:sz w:val="23"/>
        </w:rPr>
        <w:t>, released only against the agreed closure.</w:t>
      </w:r>
    </w:p>
    <w:p>
      <w:pPr>
        <w:pStyle w:val="ListBullet"/>
        <w:spacing w:after="80"/>
      </w:pPr>
      <w:r>
        <w:rPr>
          <w:rFonts w:ascii="Calibri" w:hAnsi="Calibri"/>
          <w:b/>
          <w:i w:val="0"/>
          <w:color w:val="1B2A32"/>
          <w:sz w:val="23"/>
        </w:rPr>
        <w:t>Fast &amp; online</w:t>
      </w:r>
      <w:r>
        <w:rPr>
          <w:rFonts w:ascii="Calibri" w:hAnsi="Calibri"/>
          <w:b w:val="0"/>
          <w:i w:val="0"/>
          <w:color w:val="1B2A32"/>
          <w:sz w:val="23"/>
        </w:rPr>
        <w:t xml:space="preserve"> — most settlements complete in weeks, from your phone.</w:t>
      </w:r>
    </w:p>
    <w:p>
      <w:pPr>
        <w:spacing w:before="200" w:after="60"/>
      </w:pPr>
      <w:r>
        <w:rPr>
          <w:rFonts w:ascii="Calibri" w:hAnsi="Calibri"/>
          <w:b/>
          <w:i w:val="0"/>
          <w:color w:val="123B4F"/>
          <w:sz w:val="30"/>
        </w:rPr>
        <w:t>Know your rights as a borrower</w:t>
      </w:r>
    </w:p>
    <w:p>
      <w:pPr>
        <w:pStyle w:val="ListBullet"/>
        <w:spacing w:after="80"/>
      </w:pPr>
      <w:r>
        <w:rPr>
          <w:rFonts w:ascii="Calibri" w:hAnsi="Calibri"/>
          <w:b w:val="0"/>
          <w:i w:val="0"/>
          <w:color w:val="1B2A32"/>
          <w:sz w:val="23"/>
        </w:rPr>
        <w:t xml:space="preserve">Recovery agents </w:t>
      </w:r>
      <w:r>
        <w:rPr>
          <w:rFonts w:ascii="Calibri" w:hAnsi="Calibri"/>
          <w:b/>
          <w:i w:val="0"/>
          <w:color w:val="1B2A32"/>
          <w:sz w:val="23"/>
        </w:rPr>
        <w:t>cannot</w:t>
      </w:r>
      <w:r>
        <w:rPr>
          <w:rFonts w:ascii="Calibri" w:hAnsi="Calibri"/>
          <w:b w:val="0"/>
          <w:i w:val="0"/>
          <w:color w:val="1B2A32"/>
          <w:sz w:val="23"/>
        </w:rPr>
        <w:t xml:space="preserve"> threaten, abuse, or call at odd hours (RBI Fair Practices Code).</w:t>
      </w:r>
    </w:p>
    <w:p>
      <w:pPr>
        <w:pStyle w:val="ListBullet"/>
        <w:spacing w:after="80"/>
      </w:pPr>
      <w:r>
        <w:rPr>
          <w:rFonts w:ascii="Calibri" w:hAnsi="Calibri"/>
          <w:b w:val="0"/>
          <w:i w:val="0"/>
          <w:color w:val="1B2A32"/>
          <w:sz w:val="23"/>
        </w:rPr>
        <w:t xml:space="preserve">If your lender does not resolve a complaint in </w:t>
      </w:r>
      <w:r>
        <w:rPr>
          <w:rFonts w:ascii="Calibri" w:hAnsi="Calibri"/>
          <w:b/>
          <w:i w:val="0"/>
          <w:color w:val="1B2A32"/>
          <w:sz w:val="23"/>
        </w:rPr>
        <w:t>30 days</w:t>
      </w:r>
      <w:r>
        <w:rPr>
          <w:rFonts w:ascii="Calibri" w:hAnsi="Calibri"/>
          <w:b w:val="0"/>
          <w:i w:val="0"/>
          <w:color w:val="1B2A32"/>
          <w:sz w:val="23"/>
        </w:rPr>
        <w:t xml:space="preserve">, you can escalate </w:t>
      </w:r>
      <w:r>
        <w:rPr>
          <w:rFonts w:ascii="Calibri" w:hAnsi="Calibri"/>
          <w:b/>
          <w:i w:val="0"/>
          <w:color w:val="1B2A32"/>
          <w:sz w:val="23"/>
        </w:rPr>
        <w:t>free</w:t>
      </w:r>
      <w:r>
        <w:rPr>
          <w:rFonts w:ascii="Calibri" w:hAnsi="Calibri"/>
          <w:b w:val="0"/>
          <w:i w:val="0"/>
          <w:color w:val="1B2A32"/>
          <w:sz w:val="23"/>
        </w:rPr>
        <w:t xml:space="preserve"> to the </w:t>
      </w:r>
      <w:r>
        <w:rPr>
          <w:rFonts w:ascii="Calibri" w:hAnsi="Calibri"/>
          <w:b/>
          <w:i w:val="0"/>
          <w:color w:val="1B2A32"/>
          <w:sz w:val="23"/>
        </w:rPr>
        <w:t>RBI Ombudsman</w:t>
      </w:r>
      <w:r>
        <w:rPr>
          <w:rFonts w:ascii="Calibri" w:hAnsi="Calibri"/>
          <w:b w:val="0"/>
          <w:i w:val="0"/>
          <w:color w:val="1B2A32"/>
          <w:sz w:val="23"/>
        </w:rPr>
        <w:t xml:space="preserve"> (cms.rbi.org.in).</w:t>
      </w:r>
    </w:p>
    <w:p>
      <w:pPr>
        <w:pStyle w:val="ListBullet"/>
        <w:spacing w:after="80"/>
      </w:pPr>
      <w:r>
        <w:rPr>
          <w:rFonts w:ascii="Calibri" w:hAnsi="Calibri"/>
          <w:b w:val="0"/>
          <w:i w:val="0"/>
          <w:color w:val="1B2A32"/>
          <w:sz w:val="23"/>
        </w:rPr>
        <w:t xml:space="preserve">A settlement must report your account </w:t>
      </w:r>
      <w:r>
        <w:rPr>
          <w:rFonts w:ascii="Calibri" w:hAnsi="Calibri"/>
          <w:b/>
          <w:i w:val="0"/>
          <w:color w:val="1B2A32"/>
          <w:sz w:val="23"/>
        </w:rPr>
        <w:t>accurately</w:t>
      </w:r>
      <w:r>
        <w:rPr>
          <w:rFonts w:ascii="Calibri" w:hAnsi="Calibri"/>
          <w:b w:val="0"/>
          <w:i w:val="0"/>
          <w:color w:val="1B2A32"/>
          <w:sz w:val="23"/>
        </w:rPr>
        <w:t xml:space="preserve"> to the credit bureaus — and does not, by itself, bar future credit.</w:t>
      </w:r>
    </w:p>
    <w:p>
      <w:pPr>
        <w:spacing w:before="200" w:after="60"/>
      </w:pPr>
      <w:r>
        <w:rPr>
          <w:rFonts w:ascii="Calibri" w:hAnsi="Calibri"/>
          <w:b/>
          <w:i w:val="0"/>
          <w:color w:val="123B4F"/>
          <w:sz w:val="30"/>
        </w:rPr>
        <w:t>How it works</w:t>
      </w:r>
    </w:p>
    <w:p>
      <w:pPr>
        <w:spacing w:after="100"/>
      </w:pPr>
      <w:r>
        <w:rPr>
          <w:rFonts w:ascii="Calibri" w:hAnsi="Calibri"/>
          <w:b/>
          <w:i w:val="0"/>
          <w:color w:val="1E7A8C"/>
          <w:sz w:val="24"/>
        </w:rPr>
        <w:t xml:space="preserve">1.  </w:t>
      </w:r>
      <w:r>
        <w:rPr>
          <w:rFonts w:ascii="Calibri" w:hAnsi="Calibri"/>
          <w:b w:val="0"/>
          <w:i w:val="0"/>
          <w:color w:val="1B2A32"/>
          <w:sz w:val="23"/>
        </w:rPr>
        <w:t>**Start** online — tell us about the loan and the dispute (we verify both parties).</w:t>
      </w:r>
    </w:p>
    <w:p>
      <w:pPr>
        <w:spacing w:after="100"/>
      </w:pPr>
      <w:r>
        <w:rPr>
          <w:rFonts w:ascii="Calibri" w:hAnsi="Calibri"/>
          <w:b/>
          <w:i w:val="0"/>
          <w:color w:val="1E7A8C"/>
          <w:sz w:val="24"/>
        </w:rPr>
        <w:t xml:space="preserve">2.  </w:t>
      </w:r>
      <w:r>
        <w:rPr>
          <w:rFonts w:ascii="Calibri" w:hAnsi="Calibri"/>
          <w:b w:val="0"/>
          <w:i w:val="0"/>
          <w:color w:val="1B2A32"/>
          <w:sz w:val="23"/>
        </w:rPr>
        <w:t>**Route** — we confirm the best path: settlement, cheque compounding, Ombudsman or Lok Adalat.</w:t>
      </w:r>
    </w:p>
    <w:p>
      <w:pPr>
        <w:spacing w:after="100"/>
      </w:pPr>
      <w:r>
        <w:rPr>
          <w:rFonts w:ascii="Calibri" w:hAnsi="Calibri"/>
          <w:b/>
          <w:i w:val="0"/>
          <w:color w:val="1E7A8C"/>
          <w:sz w:val="24"/>
        </w:rPr>
        <w:t xml:space="preserve">3.  </w:t>
      </w:r>
      <w:r>
        <w:rPr>
          <w:rFonts w:ascii="Calibri" w:hAnsi="Calibri"/>
          <w:b w:val="0"/>
          <w:i w:val="0"/>
          <w:color w:val="1B2A32"/>
          <w:sz w:val="23"/>
        </w:rPr>
        <w:t>**Settle** — a neutral mediator helps you agree a fair figure; an OTS estimator keeps it transparent.</w:t>
      </w:r>
    </w:p>
    <w:p>
      <w:pPr>
        <w:spacing w:after="100"/>
      </w:pPr>
      <w:r>
        <w:rPr>
          <w:rFonts w:ascii="Calibri" w:hAnsi="Calibri"/>
          <w:b/>
          <w:i w:val="0"/>
          <w:color w:val="1E7A8C"/>
          <w:sz w:val="24"/>
        </w:rPr>
        <w:t xml:space="preserve">4.  </w:t>
      </w:r>
      <w:r>
        <w:rPr>
          <w:rFonts w:ascii="Calibri" w:hAnsi="Calibri"/>
          <w:b w:val="0"/>
          <w:i w:val="0"/>
          <w:color w:val="1B2A32"/>
          <w:sz w:val="23"/>
        </w:rPr>
        <w:t>**Secure** — the money goes into escrow; you e-sign and e-stamp the settlement.</w:t>
      </w:r>
    </w:p>
    <w:p>
      <w:pPr>
        <w:spacing w:after="100"/>
      </w:pPr>
      <w:r>
        <w:rPr>
          <w:rFonts w:ascii="Calibri" w:hAnsi="Calibri"/>
          <w:b/>
          <w:i w:val="0"/>
          <w:color w:val="1E7A8C"/>
          <w:sz w:val="24"/>
        </w:rPr>
        <w:t xml:space="preserve">5.  </w:t>
      </w:r>
      <w:r>
        <w:rPr>
          <w:rFonts w:ascii="Calibri" w:hAnsi="Calibri"/>
          <w:b w:val="0"/>
          <w:i w:val="0"/>
          <w:color w:val="1B2A32"/>
          <w:sz w:val="23"/>
        </w:rPr>
        <w:t>**Close** — escrow releases on payment; you get a No-Dues/NOC and your credit record is corrected.</w:t>
      </w:r>
    </w:p>
    <w:p>
      <w:pPr>
        <w:spacing w:before="200" w:after="60"/>
      </w:pPr>
      <w:r>
        <w:rPr>
          <w:rFonts w:ascii="Calibri" w:hAnsi="Calibri"/>
          <w:b/>
          <w:i w:val="0"/>
          <w:color w:val="123B4F"/>
          <w:sz w:val="30"/>
        </w:rPr>
        <w:t>For lenders — banks, NBFCs &amp; fintechs</w:t>
      </w:r>
    </w:p>
    <w:p>
      <w:pPr>
        <w:spacing w:after="160"/>
      </w:pPr>
      <w:r>
        <w:rPr>
          <w:rFonts w:ascii="Calibri" w:hAnsi="Calibri"/>
          <w:b w:val="0"/>
          <w:i w:val="0"/>
          <w:color w:val="1B2A32"/>
          <w:sz w:val="23"/>
        </w:rPr>
        <w:t xml:space="preserve">Resolve delinquent accounts and cheque-bounce matters </w:t>
      </w:r>
      <w:r>
        <w:rPr>
          <w:rFonts w:ascii="Calibri" w:hAnsi="Calibri"/>
          <w:b/>
          <w:i w:val="0"/>
          <w:color w:val="1B2A32"/>
          <w:sz w:val="23"/>
        </w:rPr>
        <w:t>faster and at lower cost</w:t>
      </w:r>
      <w:r>
        <w:rPr>
          <w:rFonts w:ascii="Calibri" w:hAnsi="Calibri"/>
          <w:b w:val="0"/>
          <w:i w:val="0"/>
          <w:color w:val="1B2A32"/>
          <w:sz w:val="23"/>
        </w:rPr>
        <w:t xml:space="preserve"> than litigation, under your board-approved settlement policy. Panel your case-flow with Equator for consistent, auditable, RBI-aligned settlements — with escrow and a clean paper trail. Ask us about </w:t>
      </w:r>
      <w:r>
        <w:rPr>
          <w:rFonts w:ascii="Calibri" w:hAnsi="Calibri"/>
          <w:b/>
          <w:i w:val="0"/>
          <w:color w:val="1B2A32"/>
          <w:sz w:val="23"/>
        </w:rPr>
        <w:t>lender panels and SLAs</w:t>
      </w:r>
      <w:r>
        <w:rPr>
          <w:rFonts w:ascii="Calibri" w:hAnsi="Calibri"/>
          <w:b w:val="0"/>
          <w:i w:val="0"/>
          <w:color w:val="1B2A32"/>
          <w:sz w:val="23"/>
        </w:rPr>
        <w:t>.</w:t>
      </w:r>
    </w:p>
    <w:p>
      <w:r>
        <w:rPr>
          <w:rFonts w:ascii="Calibri" w:hAnsi="Calibri"/>
          <w:b w:val="0"/>
          <w:i w:val="0"/>
          <w:color w:val="1B2A32"/>
          <w:sz w:val="24"/>
        </w:rPr>
        <w:t xml:space="preserve">Start today at </w:t>
      </w:r>
      <w:r>
        <w:rPr>
          <w:rFonts w:ascii="Calibri" w:hAnsi="Calibri"/>
          <w:b/>
          <w:i w:val="0"/>
          <w:color w:val="123B4F"/>
          <w:sz w:val="24"/>
        </w:rPr>
        <w:t>www.equatorresolution.com</w:t>
      </w:r>
    </w:p>
    <w:p>
      <w:pPr>
        <w:spacing w:before="200"/>
      </w:pPr>
      <w:r>
        <w:rPr>
          <w:rFonts w:ascii="Calibri" w:hAnsi="Calibri"/>
          <w:b w:val="0"/>
          <w:i/>
          <w:color w:val="556168"/>
          <w:sz w:val="17"/>
        </w:rPr>
        <w:t>Equator Resolution is a neutral mediation, conciliation &amp; settlement institution; it complements the RBI Ombudsman, the DRT and the courts, and does not replace them. This leaflet is general information, not legal or financial advice. If you are in immediate danger from a recovery agent, contact the police.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B2A3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3D6860B-A61A-4F92-BD1D-97FB8F722FF8}"/>
</file>

<file path=customXml/itemProps3.xml><?xml version="1.0" encoding="utf-8"?>
<ds:datastoreItem xmlns:ds="http://schemas.openxmlformats.org/officeDocument/2006/customXml" ds:itemID="{03D4FA88-8203-4930-9F62-6E416D1941CE}"/>
</file>

<file path=customXml/itemProps4.xml><?xml version="1.0" encoding="utf-8"?>
<ds:datastoreItem xmlns:ds="http://schemas.openxmlformats.org/officeDocument/2006/customXml" ds:itemID="{8B8E384A-363C-4A1B-8443-E9378C005A6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