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Rules of Loan &amp; Financial Dispute Resolution</w:t>
      </w:r>
    </w:p>
    <w:p>
      <w:pPr>
        <w:jc w:val="center"/>
      </w:pPr>
      <w:r>
        <w:rPr>
          <w:rFonts w:ascii="Calibri" w:hAnsi="Calibri"/>
          <w:b w:val="0"/>
          <w:i/>
          <w:color w:val="556168"/>
          <w:sz w:val="25"/>
        </w:rPr>
        <w:t>The institutional rulebook for borrower–lender mediation, conciliation &amp; settlement</w:t>
      </w:r>
    </w:p>
    <w:p/>
    <w:p/>
    <w:p/>
    <w:p/>
    <w:p/>
    <w:p/>
    <w:p/>
    <w:p/>
    <w:p>
      <w:pPr>
        <w:jc w:val="center"/>
      </w:pPr>
      <w:r>
        <w:rPr>
          <w:rFonts w:ascii="Calibri" w:hAnsi="Calibri"/>
          <w:b/>
          <w:i w:val="0"/>
          <w:color w:val="1E7A8C"/>
          <w:sz w:val="22"/>
        </w:rPr>
        <w:t>Financial &amp; Loan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Preamble &amp; Application</w:t>
      </w:r>
    </w:p>
    <w:p>
      <w:pPr>
        <w:spacing w:after="120"/>
        <w:jc w:val="both"/>
      </w:pPr>
      <w:r>
        <w:rPr>
          <w:rFonts w:ascii="Calibri" w:hAnsi="Calibri"/>
          <w:b w:val="0"/>
          <w:i w:val="0"/>
          <w:color w:val="1B2A32"/>
          <w:sz w:val="21"/>
        </w:rPr>
        <w:t xml:space="preserve">These Rules govern the administration by </w:t>
      </w:r>
      <w:r>
        <w:rPr>
          <w:rFonts w:ascii="Calibri" w:hAnsi="Calibri"/>
          <w:b/>
          <w:i w:val="0"/>
          <w:color w:val="1B2A32"/>
          <w:sz w:val="21"/>
        </w:rPr>
        <w:t>Equator Resolution</w:t>
      </w:r>
      <w:r>
        <w:rPr>
          <w:rFonts w:ascii="Calibri" w:hAnsi="Calibri"/>
          <w:b w:val="0"/>
          <w:i w:val="0"/>
          <w:color w:val="1B2A32"/>
          <w:sz w:val="21"/>
        </w:rPr>
        <w:t xml:space="preserve"> ("Equator", "the Institution") of the mediation, conciliation and settlement of financial and loan disputes between borrowers, guarantors and co-borrowers on the one hand, and banks, non-banking financial companies (NBFCs), housing finance companies, microfinance institutions, fintech lenders and their lending service providers (LSPs) on the other. They take effect where the parties agree to resolve a dispute under the Equator Rules, whether by a pre-agreed clause in the loan documentation or by a joint or accepted reference after the dispute has arisen. They are to be read with the </w:t>
      </w:r>
      <w:r>
        <w:rPr>
          <w:rFonts w:ascii="Calibri" w:hAnsi="Calibri"/>
          <w:b/>
          <w:i w:val="0"/>
          <w:color w:val="1B2A32"/>
          <w:sz w:val="21"/>
        </w:rPr>
        <w:t>Mediation Act, 2023</w:t>
      </w:r>
      <w:r>
        <w:rPr>
          <w:rFonts w:ascii="Calibri" w:hAnsi="Calibri"/>
          <w:b w:val="0"/>
          <w:i w:val="0"/>
          <w:color w:val="1B2A32"/>
          <w:sz w:val="21"/>
        </w:rPr>
        <w:t>, the applicable Reserve Bank of India directions, and all other applicable law.</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Nature of the Institution</w:t>
            </w:r>
          </w:p>
          <w:p>
            <w:r>
              <w:rPr>
                <w:rFonts w:ascii="Calibri" w:hAnsi="Calibri"/>
                <w:b w:val="0"/>
                <w:i w:val="0"/>
                <w:color w:val="1B2A32"/>
                <w:sz w:val="19"/>
              </w:rPr>
              <w:t xml:space="preserve">Equator is a neutral, private mediation and settlement institution. It is </w:t>
            </w:r>
            <w:r>
              <w:rPr>
                <w:rFonts w:ascii="Calibri" w:hAnsi="Calibri"/>
                <w:b/>
                <w:i w:val="0"/>
                <w:color w:val="1B2A32"/>
                <w:sz w:val="19"/>
              </w:rPr>
              <w:t>not</w:t>
            </w:r>
            <w:r>
              <w:rPr>
                <w:rFonts w:ascii="Calibri" w:hAnsi="Calibri"/>
                <w:b w:val="0"/>
                <w:i w:val="0"/>
                <w:color w:val="1B2A32"/>
                <w:sz w:val="19"/>
              </w:rPr>
              <w:t xml:space="preserve"> the RBI Ombudsman, a Debts Recovery Tribunal, a consumer commission or a court, and it does not exercise any statutory adjudicatory or recovery power. Where a matter belongs to such a forum, Equator signposts it and, where lawful, facilitates a settlement in parallel.</w:t>
            </w:r>
          </w:p>
        </w:tc>
      </w:tr>
    </w:tbl>
    <w:p>
      <w:pPr>
        <w:spacing w:after="40"/>
      </w:pPr>
    </w:p>
    <w:p>
      <w:pPr>
        <w:keepNext/>
        <w:spacing w:before="280" w:after="120"/>
        <w:pBdr>
          <w:bottom w:val="single" w:sz="12" w:space="3" w:color="C6A15B"/>
        </w:pBdr>
      </w:pPr>
      <w:r>
        <w:rPr>
          <w:rFonts w:ascii="Calibri" w:hAnsi="Calibri"/>
          <w:b/>
          <w:i w:val="0"/>
          <w:color w:val="123B4F"/>
          <w:sz w:val="32"/>
        </w:rPr>
        <w:t>1.  Definitions</w:t>
      </w:r>
    </w:p>
    <w:p>
      <w:pPr>
        <w:pStyle w:val="ListBullet"/>
        <w:spacing w:after="60"/>
        <w:jc w:val="both"/>
      </w:pPr>
      <w:r>
        <w:rPr>
          <w:rFonts w:ascii="Calibri" w:hAnsi="Calibri"/>
          <w:b/>
          <w:i w:val="0"/>
          <w:color w:val="1B2A32"/>
          <w:sz w:val="21"/>
        </w:rPr>
        <w:t>"Borrower"</w:t>
      </w:r>
      <w:r>
        <w:rPr>
          <w:rFonts w:ascii="Calibri" w:hAnsi="Calibri"/>
          <w:b w:val="0"/>
          <w:i w:val="0"/>
          <w:color w:val="1B2A32"/>
          <w:sz w:val="21"/>
        </w:rPr>
        <w:t xml:space="preserve"> includes a co-borrower, guarantor, surety or any obligor under a credit facility.</w:t>
      </w:r>
    </w:p>
    <w:p>
      <w:pPr>
        <w:pStyle w:val="ListBullet"/>
        <w:spacing w:after="60"/>
        <w:jc w:val="both"/>
      </w:pPr>
      <w:r>
        <w:rPr>
          <w:rFonts w:ascii="Calibri" w:hAnsi="Calibri"/>
          <w:b/>
          <w:i w:val="0"/>
          <w:color w:val="1B2A32"/>
          <w:sz w:val="21"/>
        </w:rPr>
        <w:t>"Lender"</w:t>
      </w:r>
      <w:r>
        <w:rPr>
          <w:rFonts w:ascii="Calibri" w:hAnsi="Calibri"/>
          <w:b w:val="0"/>
          <w:i w:val="0"/>
          <w:color w:val="1B2A32"/>
          <w:sz w:val="21"/>
        </w:rPr>
        <w:t xml:space="preserve"> means a bank, NBFC, HFC, MFI, ARC, fintech lender or an LSP acting for a lender.</w:t>
      </w:r>
    </w:p>
    <w:p>
      <w:pPr>
        <w:pStyle w:val="ListBullet"/>
        <w:spacing w:after="60"/>
        <w:jc w:val="both"/>
      </w:pPr>
      <w:r>
        <w:rPr>
          <w:rFonts w:ascii="Calibri" w:hAnsi="Calibri"/>
          <w:b/>
          <w:i w:val="0"/>
          <w:color w:val="1B2A32"/>
          <w:sz w:val="21"/>
        </w:rPr>
        <w:t>"Dispute"</w:t>
      </w:r>
      <w:r>
        <w:rPr>
          <w:rFonts w:ascii="Calibri" w:hAnsi="Calibri"/>
          <w:b w:val="0"/>
          <w:i w:val="0"/>
          <w:color w:val="1B2A32"/>
          <w:sz w:val="21"/>
        </w:rPr>
        <w:t xml:space="preserve"> means any disagreement arising out of or in connection with a loan, credit facility, cheque issued in discharge of a debt, charges, recovery conduct, credit reporting, or a related financial service.</w:t>
      </w:r>
    </w:p>
    <w:p>
      <w:pPr>
        <w:pStyle w:val="ListBullet"/>
        <w:spacing w:after="60"/>
        <w:jc w:val="both"/>
      </w:pPr>
      <w:r>
        <w:rPr>
          <w:rFonts w:ascii="Calibri" w:hAnsi="Calibri"/>
          <w:b/>
          <w:i w:val="0"/>
          <w:color w:val="1B2A32"/>
          <w:sz w:val="21"/>
        </w:rPr>
        <w:t>"Neutral"</w:t>
      </w:r>
      <w:r>
        <w:rPr>
          <w:rFonts w:ascii="Calibri" w:hAnsi="Calibri"/>
          <w:b w:val="0"/>
          <w:i w:val="0"/>
          <w:color w:val="1B2A32"/>
          <w:sz w:val="21"/>
        </w:rPr>
        <w:t xml:space="preserve"> means a mediator or conciliator appointed under these Rules from the Equator panel.</w:t>
      </w:r>
    </w:p>
    <w:p>
      <w:pPr>
        <w:pStyle w:val="ListBullet"/>
        <w:spacing w:after="60"/>
        <w:jc w:val="both"/>
      </w:pPr>
      <w:r>
        <w:rPr>
          <w:rFonts w:ascii="Calibri" w:hAnsi="Calibri"/>
          <w:b/>
          <w:i w:val="0"/>
          <w:color w:val="1B2A32"/>
          <w:sz w:val="21"/>
        </w:rPr>
        <w:t>"Settlement Agreement"</w:t>
      </w:r>
      <w:r>
        <w:rPr>
          <w:rFonts w:ascii="Calibri" w:hAnsi="Calibri"/>
          <w:b w:val="0"/>
          <w:i w:val="0"/>
          <w:color w:val="1B2A32"/>
          <w:sz w:val="21"/>
        </w:rPr>
        <w:t xml:space="preserve"> or </w:t>
      </w:r>
      <w:r>
        <w:rPr>
          <w:rFonts w:ascii="Calibri" w:hAnsi="Calibri"/>
          <w:b/>
          <w:i w:val="0"/>
          <w:color w:val="1B2A32"/>
          <w:sz w:val="21"/>
        </w:rPr>
        <w:t>"MSA"</w:t>
      </w:r>
      <w:r>
        <w:rPr>
          <w:rFonts w:ascii="Calibri" w:hAnsi="Calibri"/>
          <w:b w:val="0"/>
          <w:i w:val="0"/>
          <w:color w:val="1B2A32"/>
          <w:sz w:val="21"/>
        </w:rPr>
        <w:t xml:space="preserve"> means a mediated settlement agreement under the Mediation Act, 2023.</w:t>
      </w:r>
    </w:p>
    <w:p>
      <w:pPr>
        <w:pStyle w:val="ListBullet"/>
        <w:spacing w:after="60"/>
        <w:jc w:val="both"/>
      </w:pPr>
      <w:r>
        <w:rPr>
          <w:rFonts w:ascii="Calibri" w:hAnsi="Calibri"/>
          <w:b/>
          <w:i w:val="0"/>
          <w:color w:val="1B2A32"/>
          <w:sz w:val="21"/>
        </w:rPr>
        <w:t>"OTS"</w:t>
      </w:r>
      <w:r>
        <w:rPr>
          <w:rFonts w:ascii="Calibri" w:hAnsi="Calibri"/>
          <w:b w:val="0"/>
          <w:i w:val="0"/>
          <w:color w:val="1B2A32"/>
          <w:sz w:val="21"/>
        </w:rPr>
        <w:t xml:space="preserve"> means a one-time (compromise) settlement of a debt.</w:t>
      </w:r>
    </w:p>
    <w:p>
      <w:pPr>
        <w:pStyle w:val="ListBullet"/>
        <w:spacing w:after="60"/>
        <w:jc w:val="both"/>
      </w:pPr>
      <w:r>
        <w:rPr>
          <w:rFonts w:ascii="Calibri" w:hAnsi="Calibri"/>
          <w:b/>
          <w:i w:val="0"/>
          <w:color w:val="1B2A32"/>
          <w:sz w:val="21"/>
        </w:rPr>
        <w:t>"Case Manager"</w:t>
      </w:r>
      <w:r>
        <w:rPr>
          <w:rFonts w:ascii="Calibri" w:hAnsi="Calibri"/>
          <w:b w:val="0"/>
          <w:i w:val="0"/>
          <w:color w:val="1B2A32"/>
          <w:sz w:val="21"/>
        </w:rPr>
        <w:t xml:space="preserve"> means the Equator officer administering a case; </w:t>
      </w:r>
      <w:r>
        <w:rPr>
          <w:rFonts w:ascii="Calibri" w:hAnsi="Calibri"/>
          <w:b/>
          <w:i w:val="0"/>
          <w:color w:val="1B2A32"/>
          <w:sz w:val="21"/>
        </w:rPr>
        <w:t>"Escrow Agent"</w:t>
      </w:r>
      <w:r>
        <w:rPr>
          <w:rFonts w:ascii="Calibri" w:hAnsi="Calibri"/>
          <w:b w:val="0"/>
          <w:i w:val="0"/>
          <w:color w:val="1B2A32"/>
          <w:sz w:val="21"/>
        </w:rPr>
        <w:t xml:space="preserve"> means the regulated bank holding settlement funds.</w:t>
      </w:r>
    </w:p>
    <w:p>
      <w:pPr>
        <w:pStyle w:val="ListBullet"/>
        <w:spacing w:after="60"/>
        <w:jc w:val="both"/>
      </w:pPr>
      <w:r>
        <w:rPr>
          <w:rFonts w:ascii="Calibri" w:hAnsi="Calibri"/>
          <w:b/>
          <w:i w:val="0"/>
          <w:color w:val="1B2A32"/>
          <w:sz w:val="21"/>
        </w:rPr>
        <w:t>"Registrar"</w:t>
      </w:r>
      <w:r>
        <w:rPr>
          <w:rFonts w:ascii="Calibri" w:hAnsi="Calibri"/>
          <w:b w:val="0"/>
          <w:i w:val="0"/>
          <w:color w:val="1B2A32"/>
          <w:sz w:val="21"/>
        </w:rPr>
        <w:t xml:space="preserve"> means the Equator officer responsible for the register of cases and settlements.</w:t>
      </w:r>
    </w:p>
    <w:p>
      <w:pPr>
        <w:keepNext/>
        <w:spacing w:before="280" w:after="120"/>
        <w:pBdr>
          <w:bottom w:val="single" w:sz="12" w:space="3" w:color="C6A15B"/>
        </w:pBdr>
      </w:pPr>
      <w:r>
        <w:rPr>
          <w:rFonts w:ascii="Calibri" w:hAnsi="Calibri"/>
          <w:b/>
          <w:i w:val="0"/>
          <w:color w:val="123B4F"/>
          <w:sz w:val="32"/>
        </w:rPr>
        <w:t>2.  Scope — Disputes Covered</w:t>
      </w:r>
    </w:p>
    <w:p>
      <w:pPr>
        <w:spacing w:after="120"/>
        <w:jc w:val="both"/>
      </w:pPr>
      <w:r>
        <w:rPr>
          <w:rFonts w:ascii="Calibri" w:hAnsi="Calibri"/>
          <w:b w:val="0"/>
          <w:i w:val="0"/>
          <w:color w:val="1B2A32"/>
          <w:sz w:val="21"/>
        </w:rPr>
        <w:t>Subject to Article 21 (Exclusions), the following disputes may be referred under these Rules:</w:t>
      </w:r>
    </w:p>
    <w:p>
      <w:pPr>
        <w:pStyle w:val="ListBullet"/>
        <w:spacing w:after="60"/>
        <w:jc w:val="both"/>
      </w:pPr>
      <w:r>
        <w:rPr>
          <w:rFonts w:ascii="Calibri" w:hAnsi="Calibri"/>
          <w:b w:val="0"/>
          <w:i w:val="0"/>
          <w:color w:val="1B2A32"/>
          <w:sz w:val="21"/>
        </w:rPr>
        <w:t xml:space="preserve">Loan default, restructuring and </w:t>
      </w:r>
      <w:r>
        <w:rPr>
          <w:rFonts w:ascii="Calibri" w:hAnsi="Calibri"/>
          <w:b/>
          <w:i w:val="0"/>
          <w:color w:val="1B2A32"/>
          <w:sz w:val="21"/>
        </w:rPr>
        <w:t>one-time settlement (OTS)</w:t>
      </w:r>
      <w:r>
        <w:rPr>
          <w:rFonts w:ascii="Calibri" w:hAnsi="Calibri"/>
          <w:b w:val="0"/>
          <w:i w:val="0"/>
          <w:color w:val="1B2A32"/>
          <w:sz w:val="21"/>
        </w:rPr>
        <w:t>;</w:t>
      </w:r>
    </w:p>
    <w:p>
      <w:pPr>
        <w:pStyle w:val="ListBullet"/>
        <w:spacing w:after="60"/>
        <w:jc w:val="both"/>
      </w:pPr>
      <w:r>
        <w:rPr>
          <w:rFonts w:ascii="Calibri" w:hAnsi="Calibri"/>
          <w:b/>
          <w:i w:val="0"/>
          <w:color w:val="1B2A32"/>
          <w:sz w:val="21"/>
        </w:rPr>
        <w:t>Cheque dishonour</w:t>
      </w:r>
      <w:r>
        <w:rPr>
          <w:rFonts w:ascii="Calibri" w:hAnsi="Calibri"/>
          <w:b w:val="0"/>
          <w:i w:val="0"/>
          <w:color w:val="1B2A32"/>
          <w:sz w:val="21"/>
        </w:rPr>
        <w:t xml:space="preserve"> under Section 138 of the Negotiable Instruments Act, 1881 (facilitated settlement and compounding);</w:t>
      </w:r>
    </w:p>
    <w:p>
      <w:pPr>
        <w:pStyle w:val="ListBullet"/>
        <w:spacing w:after="60"/>
        <w:jc w:val="both"/>
      </w:pPr>
      <w:r>
        <w:rPr>
          <w:rFonts w:ascii="Calibri" w:hAnsi="Calibri"/>
          <w:b w:val="0"/>
          <w:i w:val="0"/>
          <w:color w:val="1B2A32"/>
          <w:sz w:val="21"/>
        </w:rPr>
        <w:t xml:space="preserve">Disputes over </w:t>
      </w:r>
      <w:r>
        <w:rPr>
          <w:rFonts w:ascii="Calibri" w:hAnsi="Calibri"/>
          <w:b/>
          <w:i w:val="0"/>
          <w:color w:val="1B2A32"/>
          <w:sz w:val="21"/>
        </w:rPr>
        <w:t>interest, penal charges, foreclosure/prepayment charges</w:t>
      </w:r>
      <w:r>
        <w:rPr>
          <w:rFonts w:ascii="Calibri" w:hAnsi="Calibri"/>
          <w:b w:val="0"/>
          <w:i w:val="0"/>
          <w:color w:val="1B2A32"/>
          <w:sz w:val="21"/>
        </w:rPr>
        <w:t xml:space="preserve"> and other levies;</w:t>
      </w:r>
    </w:p>
    <w:p>
      <w:pPr>
        <w:pStyle w:val="ListBullet"/>
        <w:spacing w:after="60"/>
        <w:jc w:val="both"/>
      </w:pPr>
      <w:r>
        <w:rPr>
          <w:rFonts w:ascii="Calibri" w:hAnsi="Calibri"/>
          <w:b/>
          <w:i w:val="0"/>
          <w:color w:val="1B2A32"/>
          <w:sz w:val="21"/>
        </w:rPr>
        <w:t>Digital-lending and app-based</w:t>
      </w:r>
      <w:r>
        <w:rPr>
          <w:rFonts w:ascii="Calibri" w:hAnsi="Calibri"/>
          <w:b w:val="0"/>
          <w:i w:val="0"/>
          <w:color w:val="1B2A32"/>
          <w:sz w:val="21"/>
        </w:rPr>
        <w:t xml:space="preserve"> grievances (KFS, disclosures, consent, conduct);</w:t>
      </w:r>
    </w:p>
    <w:p>
      <w:pPr>
        <w:pStyle w:val="ListBullet"/>
        <w:spacing w:after="60"/>
        <w:jc w:val="both"/>
      </w:pPr>
      <w:r>
        <w:rPr>
          <w:rFonts w:ascii="Calibri" w:hAnsi="Calibri"/>
          <w:b/>
          <w:i w:val="0"/>
          <w:color w:val="1B2A32"/>
          <w:sz w:val="21"/>
        </w:rPr>
        <w:t>Recovery-agent conduct</w:t>
      </w:r>
      <w:r>
        <w:rPr>
          <w:rFonts w:ascii="Calibri" w:hAnsi="Calibri"/>
          <w:b w:val="0"/>
          <w:i w:val="0"/>
          <w:color w:val="1B2A32"/>
          <w:sz w:val="21"/>
        </w:rPr>
        <w:t xml:space="preserve"> and harassment (facilitation and escalation);</w:t>
      </w:r>
    </w:p>
    <w:p>
      <w:pPr>
        <w:pStyle w:val="ListBullet"/>
        <w:spacing w:after="60"/>
        <w:jc w:val="both"/>
      </w:pPr>
      <w:r>
        <w:rPr>
          <w:rFonts w:ascii="Calibri" w:hAnsi="Calibri"/>
          <w:b/>
          <w:i w:val="0"/>
          <w:color w:val="1B2A32"/>
          <w:sz w:val="21"/>
        </w:rPr>
        <w:t>Credit-information (bureau) corrections</w:t>
      </w:r>
      <w:r>
        <w:rPr>
          <w:rFonts w:ascii="Calibri" w:hAnsi="Calibri"/>
          <w:b w:val="0"/>
          <w:i w:val="0"/>
          <w:color w:val="1B2A32"/>
          <w:sz w:val="21"/>
        </w:rPr>
        <w:t xml:space="preserve"> consequent on a settlement;</w:t>
      </w:r>
    </w:p>
    <w:p>
      <w:pPr>
        <w:pStyle w:val="ListBullet"/>
        <w:spacing w:after="60"/>
        <w:jc w:val="both"/>
      </w:pPr>
      <w:r>
        <w:rPr>
          <w:rFonts w:ascii="Calibri" w:hAnsi="Calibri"/>
          <w:b/>
          <w:i w:val="0"/>
          <w:color w:val="1B2A32"/>
          <w:sz w:val="21"/>
        </w:rPr>
        <w:t>Guarantee, co-borrower and security</w:t>
      </w:r>
      <w:r>
        <w:rPr>
          <w:rFonts w:ascii="Calibri" w:hAnsi="Calibri"/>
          <w:b w:val="0"/>
          <w:i w:val="0"/>
          <w:color w:val="1B2A32"/>
          <w:sz w:val="21"/>
        </w:rPr>
        <w:t xml:space="preserve"> disputes not requiring statutory enforcement; and</w:t>
      </w:r>
    </w:p>
    <w:p>
      <w:pPr>
        <w:pStyle w:val="ListBullet"/>
        <w:spacing w:after="60"/>
        <w:jc w:val="both"/>
      </w:pPr>
      <w:r>
        <w:rPr>
          <w:rFonts w:ascii="Calibri" w:hAnsi="Calibri"/>
          <w:b w:val="0"/>
          <w:i w:val="0"/>
          <w:color w:val="1B2A32"/>
          <w:sz w:val="21"/>
        </w:rPr>
        <w:t>Any other borrower–lender money dispute the parties agree to refer and which is capable of consensual settlement.</w:t>
      </w:r>
    </w:p>
    <w:p>
      <w:pPr>
        <w:keepNext/>
        <w:spacing w:before="280" w:after="120"/>
        <w:pBdr>
          <w:bottom w:val="single" w:sz="12" w:space="3" w:color="C6A15B"/>
        </w:pBdr>
      </w:pPr>
      <w:r>
        <w:rPr>
          <w:rFonts w:ascii="Calibri" w:hAnsi="Calibri"/>
          <w:b/>
          <w:i w:val="0"/>
          <w:color w:val="123B4F"/>
          <w:sz w:val="32"/>
        </w:rPr>
        <w:t>3.  Commencement — Request for Resolution</w:t>
      </w:r>
    </w:p>
    <w:p>
      <w:pPr>
        <w:spacing w:after="120"/>
        <w:jc w:val="both"/>
      </w:pPr>
      <w:r>
        <w:rPr>
          <w:rFonts w:ascii="Calibri" w:hAnsi="Calibri"/>
          <w:b w:val="0"/>
          <w:i w:val="0"/>
          <w:color w:val="1B2A32"/>
          <w:sz w:val="21"/>
        </w:rPr>
        <w:t xml:space="preserve">A case commences when a party files a </w:t>
      </w:r>
      <w:r>
        <w:rPr>
          <w:rFonts w:ascii="Calibri" w:hAnsi="Calibri"/>
          <w:b/>
          <w:i w:val="0"/>
          <w:color w:val="1B2A32"/>
          <w:sz w:val="21"/>
        </w:rPr>
        <w:t>Request for Resolution</w:t>
      </w:r>
      <w:r>
        <w:rPr>
          <w:rFonts w:ascii="Calibri" w:hAnsi="Calibri"/>
          <w:b w:val="0"/>
          <w:i w:val="0"/>
          <w:color w:val="1B2A32"/>
          <w:sz w:val="21"/>
        </w:rPr>
        <w:t xml:space="preserve"> (Form F-L02) with the prescribed particulars and the registration fee, or when the parties jointly submit an agreed reference. The Case Manager verifies identity (</w:t>
      </w:r>
      <w:r>
        <w:rPr>
          <w:rFonts w:ascii="Calibri" w:hAnsi="Calibri"/>
          <w:b/>
          <w:i w:val="0"/>
          <w:color w:val="1B2A32"/>
          <w:sz w:val="21"/>
        </w:rPr>
        <w:t>KYC/KYB</w:t>
      </w:r>
      <w:r>
        <w:rPr>
          <w:rFonts w:ascii="Calibri" w:hAnsi="Calibri"/>
          <w:b w:val="0"/>
          <w:i w:val="0"/>
          <w:color w:val="1B2A32"/>
          <w:sz w:val="21"/>
        </w:rPr>
        <w:t xml:space="preserve">, Form F-L01) and consent, allots a case number, and runs the </w:t>
      </w:r>
      <w:r>
        <w:rPr>
          <w:rFonts w:ascii="Calibri" w:hAnsi="Calibri"/>
          <w:b/>
          <w:i w:val="0"/>
          <w:color w:val="1B2A32"/>
          <w:sz w:val="21"/>
        </w:rPr>
        <w:t>route triage</w:t>
      </w:r>
      <w:r>
        <w:rPr>
          <w:rFonts w:ascii="Calibri" w:hAnsi="Calibri"/>
          <w:b w:val="0"/>
          <w:i w:val="0"/>
          <w:color w:val="1B2A32"/>
          <w:sz w:val="21"/>
        </w:rPr>
        <w:t xml:space="preserve"> to confirm the matter is suitable for Equator (and not within an exclusive statutory lane under Article 21).</w:t>
      </w:r>
    </w:p>
    <w:p>
      <w:pPr>
        <w:keepNext/>
        <w:spacing w:before="280" w:after="120"/>
        <w:pBdr>
          <w:bottom w:val="single" w:sz="12" w:space="3" w:color="C6A15B"/>
        </w:pBdr>
      </w:pPr>
      <w:r>
        <w:rPr>
          <w:rFonts w:ascii="Calibri" w:hAnsi="Calibri"/>
          <w:b/>
          <w:i w:val="0"/>
          <w:color w:val="123B4F"/>
          <w:sz w:val="32"/>
        </w:rPr>
        <w:t>4.  Response &amp; Either-Party Initiation</w:t>
      </w:r>
    </w:p>
    <w:p>
      <w:pPr>
        <w:spacing w:after="120"/>
        <w:jc w:val="both"/>
      </w:pPr>
      <w:r>
        <w:rPr>
          <w:rFonts w:ascii="Calibri" w:hAnsi="Calibri"/>
          <w:b w:val="0"/>
          <w:i w:val="0"/>
          <w:color w:val="1B2A32"/>
          <w:sz w:val="21"/>
        </w:rPr>
        <w:t xml:space="preserve">Either the borrower or the lender may initiate. On commencement, Equator serves </w:t>
      </w:r>
      <w:r>
        <w:rPr>
          <w:rFonts w:ascii="Calibri" w:hAnsi="Calibri"/>
          <w:b/>
          <w:i w:val="0"/>
          <w:color w:val="1B2A32"/>
          <w:sz w:val="21"/>
        </w:rPr>
        <w:t>notice</w:t>
      </w:r>
      <w:r>
        <w:rPr>
          <w:rFonts w:ascii="Calibri" w:hAnsi="Calibri"/>
          <w:b w:val="0"/>
          <w:i w:val="0"/>
          <w:color w:val="1B2A32"/>
          <w:sz w:val="21"/>
        </w:rPr>
        <w:t xml:space="preserve"> (Form F-L03) on the other party, who is invited to file a </w:t>
      </w:r>
      <w:r>
        <w:rPr>
          <w:rFonts w:ascii="Calibri" w:hAnsi="Calibri"/>
          <w:b/>
          <w:i w:val="0"/>
          <w:color w:val="1B2A32"/>
          <w:sz w:val="21"/>
        </w:rPr>
        <w:t>Response</w:t>
      </w:r>
      <w:r>
        <w:rPr>
          <w:rFonts w:ascii="Calibri" w:hAnsi="Calibri"/>
          <w:b w:val="0"/>
          <w:i w:val="0"/>
          <w:color w:val="1B2A32"/>
          <w:sz w:val="21"/>
        </w:rPr>
        <w:t xml:space="preserve"> (Form F-L05) within the period fixed by the Case Manager (ordinarily 10 working days). Non-participation does not compel settlement; Equator records the invitation and, where a party declines, closes or signposts the matter. Multi-party and portfolio references (e.g., a lender referring a batch of accounts) may be administered under a single case-management protocol.</w:t>
      </w:r>
    </w:p>
    <w:p>
      <w:pPr>
        <w:keepNext/>
        <w:spacing w:before="280" w:after="120"/>
        <w:pBdr>
          <w:bottom w:val="single" w:sz="12" w:space="3" w:color="C6A15B"/>
        </w:pBdr>
      </w:pPr>
      <w:r>
        <w:rPr>
          <w:rFonts w:ascii="Calibri" w:hAnsi="Calibri"/>
          <w:b/>
          <w:i w:val="0"/>
          <w:color w:val="123B4F"/>
          <w:sz w:val="32"/>
        </w:rPr>
        <w:t>5.  The Panel &amp; Appointment of the Neutral</w:t>
      </w:r>
    </w:p>
    <w:p>
      <w:pPr>
        <w:spacing w:after="120"/>
        <w:jc w:val="both"/>
      </w:pPr>
      <w:r>
        <w:rPr>
          <w:rFonts w:ascii="Calibri" w:hAnsi="Calibri"/>
          <w:b w:val="0"/>
          <w:i w:val="0"/>
          <w:color w:val="1B2A32"/>
          <w:sz w:val="21"/>
        </w:rPr>
        <w:t xml:space="preserve">Equator maintains a graded </w:t>
      </w:r>
      <w:r>
        <w:rPr>
          <w:rFonts w:ascii="Calibri" w:hAnsi="Calibri"/>
          <w:b/>
          <w:i w:val="0"/>
          <w:color w:val="1B2A32"/>
          <w:sz w:val="21"/>
        </w:rPr>
        <w:t>panel</w:t>
      </w:r>
      <w:r>
        <w:rPr>
          <w:rFonts w:ascii="Calibri" w:hAnsi="Calibri"/>
          <w:b w:val="0"/>
          <w:i w:val="0"/>
          <w:color w:val="1B2A32"/>
          <w:sz w:val="21"/>
        </w:rPr>
        <w:t xml:space="preserve"> of financial neutrals (Article 13 of the Empanelment Norms). Unless the parties agree on a named neutral, the Institution appoints a suitable neutral having regard to the nature and value of the dispute, sector experience, language and availability, and the conflict position. The parties may request a neutral of a particular background (e.g., ex-banker, retired recovery officer, banking lawyer).</w:t>
      </w:r>
    </w:p>
    <w:p>
      <w:pPr>
        <w:keepNext/>
        <w:spacing w:before="280" w:after="120"/>
        <w:pBdr>
          <w:bottom w:val="single" w:sz="12" w:space="3" w:color="C6A15B"/>
        </w:pBdr>
      </w:pPr>
      <w:r>
        <w:rPr>
          <w:rFonts w:ascii="Calibri" w:hAnsi="Calibri"/>
          <w:b/>
          <w:i w:val="0"/>
          <w:color w:val="123B4F"/>
          <w:sz w:val="32"/>
        </w:rPr>
        <w:t>6.  Independence, Impartiality, Disclosure &amp; Challenge</w:t>
      </w:r>
    </w:p>
    <w:p>
      <w:pPr>
        <w:spacing w:after="120"/>
        <w:jc w:val="both"/>
      </w:pPr>
      <w:r>
        <w:rPr>
          <w:rFonts w:ascii="Calibri" w:hAnsi="Calibri"/>
          <w:b w:val="0"/>
          <w:i w:val="0"/>
          <w:color w:val="1B2A32"/>
          <w:sz w:val="21"/>
        </w:rPr>
        <w:t xml:space="preserve">Every neutral must be and remain independent and impartial, and must sign a </w:t>
      </w:r>
      <w:r>
        <w:rPr>
          <w:rFonts w:ascii="Calibri" w:hAnsi="Calibri"/>
          <w:b/>
          <w:i w:val="0"/>
          <w:color w:val="1B2A32"/>
          <w:sz w:val="21"/>
        </w:rPr>
        <w:t>disclosure</w:t>
      </w:r>
      <w:r>
        <w:rPr>
          <w:rFonts w:ascii="Calibri" w:hAnsi="Calibri"/>
          <w:b w:val="0"/>
          <w:i w:val="0"/>
          <w:color w:val="1B2A32"/>
          <w:sz w:val="21"/>
        </w:rPr>
        <w:t xml:space="preserve"> (Form F-L06) before acting, with a continuing duty to disclose. A party may </w:t>
      </w:r>
      <w:r>
        <w:rPr>
          <w:rFonts w:ascii="Calibri" w:hAnsi="Calibri"/>
          <w:b/>
          <w:i w:val="0"/>
          <w:color w:val="1B2A32"/>
          <w:sz w:val="21"/>
        </w:rPr>
        <w:t>challenge</w:t>
      </w:r>
      <w:r>
        <w:rPr>
          <w:rFonts w:ascii="Calibri" w:hAnsi="Calibri"/>
          <w:b w:val="0"/>
          <w:i w:val="0"/>
          <w:color w:val="1B2A32"/>
          <w:sz w:val="21"/>
        </w:rPr>
        <w:t xml:space="preserve"> a neutral for justifiable doubts as to independence or impartiality; the Institution decides the challenge and, if upheld, appoints a replacement. A neutral must decline or withdraw on any real conflict — for example, a current engagement with the lender, LSP or a party.</w:t>
      </w:r>
    </w:p>
    <w:p>
      <w:pPr>
        <w:keepNext/>
        <w:spacing w:before="280" w:after="120"/>
        <w:pBdr>
          <w:bottom w:val="single" w:sz="12" w:space="3" w:color="C6A15B"/>
        </w:pBdr>
      </w:pPr>
      <w:r>
        <w:rPr>
          <w:rFonts w:ascii="Calibri" w:hAnsi="Calibri"/>
          <w:b/>
          <w:i w:val="0"/>
          <w:color w:val="123B4F"/>
          <w:sz w:val="32"/>
        </w:rPr>
        <w:t>7.  Conduct of the Mediation / Conciliation</w:t>
      </w:r>
    </w:p>
    <w:p>
      <w:pPr>
        <w:spacing w:after="120"/>
        <w:jc w:val="both"/>
      </w:pPr>
      <w:r>
        <w:rPr>
          <w:rFonts w:ascii="Calibri" w:hAnsi="Calibri"/>
          <w:b w:val="0"/>
          <w:i w:val="0"/>
          <w:color w:val="1B2A32"/>
          <w:sz w:val="21"/>
        </w:rPr>
        <w:t xml:space="preserve">The neutral conducts the process </w:t>
      </w:r>
      <w:r>
        <w:rPr>
          <w:rFonts w:ascii="Calibri" w:hAnsi="Calibri"/>
          <w:b/>
          <w:i w:val="0"/>
          <w:color w:val="1B2A32"/>
          <w:sz w:val="21"/>
        </w:rPr>
        <w:t>flexibly, fairly and expeditiously</w:t>
      </w:r>
      <w:r>
        <w:rPr>
          <w:rFonts w:ascii="Calibri" w:hAnsi="Calibri"/>
          <w:b w:val="0"/>
          <w:i w:val="0"/>
          <w:color w:val="1B2A32"/>
          <w:sz w:val="21"/>
        </w:rPr>
        <w:t xml:space="preserve">, in person or online (ODR), with joint sessions and private caucuses as appropriate. The neutral does not decide the dispute or impose an outcome, does not give legal or financial advice, and helps the parties explore options and reach a voluntary settlement. The neutral verifies the </w:t>
      </w:r>
      <w:r>
        <w:rPr>
          <w:rFonts w:ascii="Calibri" w:hAnsi="Calibri"/>
          <w:b/>
          <w:i w:val="0"/>
          <w:color w:val="1B2A32"/>
          <w:sz w:val="21"/>
        </w:rPr>
        <w:t>figures</w:t>
      </w:r>
      <w:r>
        <w:rPr>
          <w:rFonts w:ascii="Calibri" w:hAnsi="Calibri"/>
          <w:b w:val="0"/>
          <w:i w:val="0"/>
          <w:color w:val="1B2A32"/>
          <w:sz w:val="21"/>
        </w:rPr>
        <w:t xml:space="preserve"> from the statement of account and supporting documents, not from assertion.</w:t>
      </w:r>
    </w:p>
    <w:p>
      <w:pPr>
        <w:keepNext/>
        <w:spacing w:before="280" w:after="120"/>
        <w:pBdr>
          <w:bottom w:val="single" w:sz="12" w:space="3" w:color="C6A15B"/>
        </w:pBdr>
      </w:pPr>
      <w:r>
        <w:rPr>
          <w:rFonts w:ascii="Calibri" w:hAnsi="Calibri"/>
          <w:b/>
          <w:i w:val="0"/>
          <w:color w:val="123B4F"/>
          <w:sz w:val="32"/>
        </w:rPr>
        <w:t>8.  Representation &amp; Authority to Settle</w:t>
      </w:r>
    </w:p>
    <w:p>
      <w:pPr>
        <w:spacing w:after="120"/>
        <w:jc w:val="both"/>
      </w:pPr>
      <w:r>
        <w:rPr>
          <w:rFonts w:ascii="Calibri" w:hAnsi="Calibri"/>
          <w:b w:val="0"/>
          <w:i w:val="0"/>
          <w:color w:val="1B2A32"/>
          <w:sz w:val="21"/>
        </w:rPr>
        <w:t xml:space="preserve">A party may appear personally or through an authorised representative or advocate. Each party must attend with, or have available, a person with </w:t>
      </w:r>
      <w:r>
        <w:rPr>
          <w:rFonts w:ascii="Calibri" w:hAnsi="Calibri"/>
          <w:b/>
          <w:i w:val="0"/>
          <w:color w:val="1B2A32"/>
          <w:sz w:val="21"/>
        </w:rPr>
        <w:t>authority to settle</w:t>
      </w:r>
      <w:r>
        <w:rPr>
          <w:rFonts w:ascii="Calibri" w:hAnsi="Calibri"/>
          <w:b w:val="0"/>
          <w:i w:val="0"/>
          <w:color w:val="1B2A32"/>
          <w:sz w:val="21"/>
        </w:rPr>
        <w:t xml:space="preserve"> — for a lender, an officer empowered under its </w:t>
      </w:r>
      <w:r>
        <w:rPr>
          <w:rFonts w:ascii="Calibri" w:hAnsi="Calibri"/>
          <w:b/>
          <w:i w:val="0"/>
          <w:color w:val="1B2A32"/>
          <w:sz w:val="21"/>
        </w:rPr>
        <w:t>board-approved compromise-settlement policy</w:t>
      </w:r>
      <w:r>
        <w:rPr>
          <w:rFonts w:ascii="Calibri" w:hAnsi="Calibri"/>
          <w:b w:val="0"/>
          <w:i w:val="0"/>
          <w:color w:val="1B2A32"/>
          <w:sz w:val="21"/>
        </w:rPr>
        <w:t>. Vulnerable or unrepresented borrowers must be given a fair opportunity to understand the terms and to take independent advice.</w:t>
      </w:r>
    </w:p>
    <w:p>
      <w:pPr>
        <w:keepNext/>
        <w:spacing w:before="280" w:after="120"/>
        <w:pBdr>
          <w:bottom w:val="single" w:sz="12" w:space="3" w:color="C6A15B"/>
        </w:pBdr>
      </w:pPr>
      <w:r>
        <w:rPr>
          <w:rFonts w:ascii="Calibri" w:hAnsi="Calibri"/>
          <w:b/>
          <w:i w:val="0"/>
          <w:color w:val="123B4F"/>
          <w:sz w:val="32"/>
        </w:rPr>
        <w:t>9.  Confidentiality &amp; Without Prejudice</w:t>
      </w:r>
    </w:p>
    <w:p>
      <w:pPr>
        <w:spacing w:after="120"/>
        <w:jc w:val="both"/>
      </w:pPr>
      <w:r>
        <w:rPr>
          <w:rFonts w:ascii="Calibri" w:hAnsi="Calibri"/>
          <w:b w:val="0"/>
          <w:i w:val="0"/>
          <w:color w:val="1B2A32"/>
          <w:sz w:val="21"/>
        </w:rPr>
        <w:t xml:space="preserve">The process is </w:t>
      </w:r>
      <w:r>
        <w:rPr>
          <w:rFonts w:ascii="Calibri" w:hAnsi="Calibri"/>
          <w:b/>
          <w:i w:val="0"/>
          <w:color w:val="1B2A32"/>
          <w:sz w:val="21"/>
        </w:rPr>
        <w:t>confidential</w:t>
      </w:r>
      <w:r>
        <w:rPr>
          <w:rFonts w:ascii="Calibri" w:hAnsi="Calibri"/>
          <w:b w:val="0"/>
          <w:i w:val="0"/>
          <w:color w:val="1B2A32"/>
          <w:sz w:val="21"/>
        </w:rPr>
        <w:t xml:space="preserve"> and </w:t>
      </w:r>
      <w:r>
        <w:rPr>
          <w:rFonts w:ascii="Calibri" w:hAnsi="Calibri"/>
          <w:b/>
          <w:i w:val="0"/>
          <w:color w:val="1B2A32"/>
          <w:sz w:val="21"/>
        </w:rPr>
        <w:t>without prejudice</w:t>
      </w:r>
      <w:r>
        <w:rPr>
          <w:rFonts w:ascii="Calibri" w:hAnsi="Calibri"/>
          <w:b w:val="0"/>
          <w:i w:val="0"/>
          <w:color w:val="1B2A32"/>
          <w:sz w:val="21"/>
        </w:rPr>
        <w:t xml:space="preserve"> under Section 22 of the Mediation Act, 2023. Anything said, admitted or proposed in the process is inadmissible in later proceedings, save for the recorded Settlement Agreement and the limited statutory exceptions (e.g., threat to life, a settlement obtained by fraud, or where disclosure is required by law).</w:t>
      </w:r>
    </w:p>
    <w:p>
      <w:pPr>
        <w:keepNext/>
        <w:spacing w:before="280" w:after="120"/>
        <w:pBdr>
          <w:bottom w:val="single" w:sz="12" w:space="3" w:color="C6A15B"/>
        </w:pBdr>
      </w:pPr>
      <w:r>
        <w:rPr>
          <w:rFonts w:ascii="Calibri" w:hAnsi="Calibri"/>
          <w:b/>
          <w:i w:val="0"/>
          <w:color w:val="123B4F"/>
          <w:sz w:val="32"/>
        </w:rPr>
        <w:t>10.  Settlement Agreement — Recording, Registration &amp; Enforceability</w:t>
      </w:r>
    </w:p>
    <w:p>
      <w:pPr>
        <w:spacing w:after="120"/>
        <w:jc w:val="both"/>
      </w:pPr>
      <w:r>
        <w:rPr>
          <w:rFonts w:ascii="Calibri" w:hAnsi="Calibri"/>
          <w:b w:val="0"/>
          <w:i w:val="0"/>
          <w:color w:val="1B2A32"/>
          <w:sz w:val="21"/>
        </w:rPr>
        <w:t xml:space="preserve">A settlement is reduced to a written </w:t>
      </w:r>
      <w:r>
        <w:rPr>
          <w:rFonts w:ascii="Calibri" w:hAnsi="Calibri"/>
          <w:b/>
          <w:i w:val="0"/>
          <w:color w:val="1B2A32"/>
          <w:sz w:val="21"/>
        </w:rPr>
        <w:t>Settlement Agreement</w:t>
      </w:r>
      <w:r>
        <w:rPr>
          <w:rFonts w:ascii="Calibri" w:hAnsi="Calibri"/>
          <w:b w:val="0"/>
          <w:i w:val="0"/>
          <w:color w:val="1B2A32"/>
          <w:sz w:val="21"/>
        </w:rPr>
        <w:t xml:space="preserve"> (Form F-L12) signed by the parties and authenticated by the neutral. It records the settled figure, the payment schedule, any waiver of interest or penal charges, the escrow arrangement, the </w:t>
      </w:r>
      <w:r>
        <w:rPr>
          <w:rFonts w:ascii="Calibri" w:hAnsi="Calibri"/>
          <w:b/>
          <w:i w:val="0"/>
          <w:color w:val="1B2A32"/>
          <w:sz w:val="21"/>
        </w:rPr>
        <w:t>No-Dues/NOC</w:t>
      </w:r>
      <w:r>
        <w:rPr>
          <w:rFonts w:ascii="Calibri" w:hAnsi="Calibri"/>
          <w:b w:val="0"/>
          <w:i w:val="0"/>
          <w:color w:val="1B2A32"/>
          <w:sz w:val="21"/>
        </w:rPr>
        <w:t xml:space="preserve"> on final payment, and the </w:t>
      </w:r>
      <w:r>
        <w:rPr>
          <w:rFonts w:ascii="Calibri" w:hAnsi="Calibri"/>
          <w:b/>
          <w:i w:val="0"/>
          <w:color w:val="1B2A32"/>
          <w:sz w:val="21"/>
        </w:rPr>
        <w:t>credit-bureau correction</w:t>
      </w:r>
      <w:r>
        <w:rPr>
          <w:rFonts w:ascii="Calibri" w:hAnsi="Calibri"/>
          <w:b w:val="0"/>
          <w:i w:val="0"/>
          <w:color w:val="1B2A32"/>
          <w:sz w:val="21"/>
        </w:rPr>
        <w:t xml:space="preserve"> the lender will file. A mediated Settlement Agreement is </w:t>
      </w:r>
      <w:r>
        <w:rPr>
          <w:rFonts w:ascii="Calibri" w:hAnsi="Calibri"/>
          <w:b/>
          <w:i w:val="0"/>
          <w:color w:val="1B2A32"/>
          <w:sz w:val="21"/>
        </w:rPr>
        <w:t>enforceable as a decree</w:t>
      </w:r>
      <w:r>
        <w:rPr>
          <w:rFonts w:ascii="Calibri" w:hAnsi="Calibri"/>
          <w:b w:val="0"/>
          <w:i w:val="0"/>
          <w:color w:val="1B2A32"/>
          <w:sz w:val="21"/>
        </w:rPr>
        <w:t xml:space="preserve"> of court under Section 27 of the Mediation Act, 2023, and may be registered under Section 20. The parties may elect to record the settlement in a </w:t>
      </w:r>
      <w:r>
        <w:rPr>
          <w:rFonts w:ascii="Calibri" w:hAnsi="Calibri"/>
          <w:b/>
          <w:i w:val="0"/>
          <w:color w:val="1B2A32"/>
          <w:sz w:val="21"/>
        </w:rPr>
        <w:t>Lok Adalat</w:t>
      </w:r>
      <w:r>
        <w:rPr>
          <w:rFonts w:ascii="Calibri" w:hAnsi="Calibri"/>
          <w:b w:val="0"/>
          <w:i w:val="0"/>
          <w:color w:val="1B2A32"/>
          <w:sz w:val="21"/>
        </w:rPr>
        <w:t xml:space="preserve"> for a final, non-appealable award.</w:t>
      </w:r>
    </w:p>
    <w:p>
      <w:pPr>
        <w:keepNext/>
        <w:spacing w:before="280" w:after="120"/>
        <w:pBdr>
          <w:bottom w:val="single" w:sz="12" w:space="3" w:color="C6A15B"/>
        </w:pBdr>
      </w:pPr>
      <w:r>
        <w:rPr>
          <w:rFonts w:ascii="Calibri" w:hAnsi="Calibri"/>
          <w:b/>
          <w:i w:val="0"/>
          <w:color w:val="123B4F"/>
          <w:sz w:val="32"/>
        </w:rPr>
        <w:t>11.  Escrow &amp; Settlement Payments</w:t>
      </w:r>
    </w:p>
    <w:p>
      <w:pPr>
        <w:spacing w:after="120"/>
        <w:jc w:val="both"/>
      </w:pPr>
      <w:r>
        <w:rPr>
          <w:rFonts w:ascii="Calibri" w:hAnsi="Calibri"/>
          <w:b w:val="0"/>
          <w:i w:val="0"/>
          <w:color w:val="1B2A32"/>
          <w:sz w:val="21"/>
        </w:rPr>
        <w:t xml:space="preserve">Where money is to change hands, the parties may use the </w:t>
      </w:r>
      <w:r>
        <w:rPr>
          <w:rFonts w:ascii="Calibri" w:hAnsi="Calibri"/>
          <w:b/>
          <w:i w:val="0"/>
          <w:color w:val="1B2A32"/>
          <w:sz w:val="21"/>
        </w:rPr>
        <w:t>Equator escrow</w:t>
      </w:r>
      <w:r>
        <w:rPr>
          <w:rFonts w:ascii="Calibri" w:hAnsi="Calibri"/>
          <w:b w:val="0"/>
          <w:i w:val="0"/>
          <w:color w:val="1B2A32"/>
          <w:sz w:val="21"/>
        </w:rPr>
        <w:t xml:space="preserve"> facility (Form F-L11). Funds are held by a regulated Escrow Agent and released only against the agreed milestones (e.g., signed settlement, instalment dates), with a receipt and an audit entry for each release. On </w:t>
      </w:r>
      <w:r>
        <w:rPr>
          <w:rFonts w:ascii="Calibri" w:hAnsi="Calibri"/>
          <w:b/>
          <w:i w:val="0"/>
          <w:color w:val="1B2A32"/>
          <w:sz w:val="21"/>
        </w:rPr>
        <w:t>final</w:t>
      </w:r>
      <w:r>
        <w:rPr>
          <w:rFonts w:ascii="Calibri" w:hAnsi="Calibri"/>
          <w:b w:val="0"/>
          <w:i w:val="0"/>
          <w:color w:val="1B2A32"/>
          <w:sz w:val="21"/>
        </w:rPr>
        <w:t xml:space="preserve"> release, the Escrow Agent triggers the No-Dues/NOC and confirms the lender's credit-bureau update. Settlement payments may be collected by eNACH, UPI, IMPS/RTGS or bank transfer.</w:t>
      </w:r>
    </w:p>
    <w:p>
      <w:pPr>
        <w:keepNext/>
        <w:spacing w:before="280" w:after="120"/>
        <w:pBdr>
          <w:bottom w:val="single" w:sz="12" w:space="3" w:color="C6A15B"/>
        </w:pBdr>
      </w:pPr>
      <w:r>
        <w:rPr>
          <w:rFonts w:ascii="Calibri" w:hAnsi="Calibri"/>
          <w:b/>
          <w:i w:val="0"/>
          <w:color w:val="123B4F"/>
          <w:sz w:val="32"/>
        </w:rPr>
        <w:t>12.  One-Time Settlement (OTS) Specifics</w:t>
      </w:r>
    </w:p>
    <w:p>
      <w:pPr>
        <w:spacing w:after="120"/>
        <w:jc w:val="both"/>
      </w:pPr>
      <w:r>
        <w:rPr>
          <w:rFonts w:ascii="Calibri" w:hAnsi="Calibri"/>
          <w:b w:val="0"/>
          <w:i w:val="0"/>
          <w:color w:val="1B2A32"/>
          <w:sz w:val="21"/>
        </w:rPr>
        <w:t xml:space="preserve">For an OTS, the neutral and Case Manager verify the </w:t>
      </w:r>
      <w:r>
        <w:rPr>
          <w:rFonts w:ascii="Calibri" w:hAnsi="Calibri"/>
          <w:b/>
          <w:i w:val="0"/>
          <w:color w:val="1B2A32"/>
          <w:sz w:val="21"/>
        </w:rPr>
        <w:t>total dues</w:t>
      </w:r>
      <w:r>
        <w:rPr>
          <w:rFonts w:ascii="Calibri" w:hAnsi="Calibri"/>
          <w:b w:val="0"/>
          <w:i w:val="0"/>
          <w:color w:val="1B2A32"/>
          <w:sz w:val="21"/>
        </w:rPr>
        <w:t xml:space="preserve"> (principal, interest, penal charges), and the parties negotiate a settled figure within the lender's board-approved policy (aligned with the RBI compromise-settlement framework, 2023). The Settlement Agreement records the </w:t>
      </w:r>
      <w:r>
        <w:rPr>
          <w:rFonts w:ascii="Calibri" w:hAnsi="Calibri"/>
          <w:b/>
          <w:i w:val="0"/>
          <w:color w:val="1B2A32"/>
          <w:sz w:val="21"/>
        </w:rPr>
        <w:t>sacrifice/waiver</w:t>
      </w:r>
      <w:r>
        <w:rPr>
          <w:rFonts w:ascii="Calibri" w:hAnsi="Calibri"/>
          <w:b w:val="0"/>
          <w:i w:val="0"/>
          <w:color w:val="1B2A32"/>
          <w:sz w:val="21"/>
        </w:rPr>
        <w:t xml:space="preserve">, the schedule, the escrow, the No-Dues/NOC, and the accurate credit-bureau status. The Institution's </w:t>
      </w:r>
      <w:r>
        <w:rPr>
          <w:rFonts w:ascii="Calibri" w:hAnsi="Calibri"/>
          <w:b/>
          <w:i w:val="0"/>
          <w:color w:val="1B2A32"/>
          <w:sz w:val="21"/>
        </w:rPr>
        <w:t>OTS Estimator</w:t>
      </w:r>
      <w:r>
        <w:rPr>
          <w:rFonts w:ascii="Calibri" w:hAnsi="Calibri"/>
          <w:b w:val="0"/>
          <w:i w:val="0"/>
          <w:color w:val="1B2A32"/>
          <w:sz w:val="21"/>
        </w:rPr>
        <w:t xml:space="preserve"> may be used as a transparent negotiation aid; it is indicative only.</w:t>
      </w:r>
    </w:p>
    <w:p>
      <w:pPr>
        <w:keepNext/>
        <w:spacing w:before="280" w:after="120"/>
        <w:pBdr>
          <w:bottom w:val="single" w:sz="12" w:space="3" w:color="C6A15B"/>
        </w:pBdr>
      </w:pPr>
      <w:r>
        <w:rPr>
          <w:rFonts w:ascii="Calibri" w:hAnsi="Calibri"/>
          <w:b/>
          <w:i w:val="0"/>
          <w:color w:val="123B4F"/>
          <w:sz w:val="32"/>
        </w:rPr>
        <w:t>13.  Cheque-Dishonour (Section 138) Matters</w:t>
      </w:r>
    </w:p>
    <w:p>
      <w:pPr>
        <w:spacing w:after="120"/>
        <w:jc w:val="both"/>
      </w:pPr>
      <w:r>
        <w:rPr>
          <w:rFonts w:ascii="Calibri" w:hAnsi="Calibri"/>
          <w:b w:val="0"/>
          <w:i w:val="0"/>
          <w:color w:val="1B2A32"/>
          <w:sz w:val="21"/>
        </w:rPr>
        <w:t xml:space="preserve">Where a dispute concerns a dishonoured cheque, the neutral facilitates a lawful </w:t>
      </w:r>
      <w:r>
        <w:rPr>
          <w:rFonts w:ascii="Calibri" w:hAnsi="Calibri"/>
          <w:b/>
          <w:i w:val="0"/>
          <w:color w:val="1B2A32"/>
          <w:sz w:val="21"/>
        </w:rPr>
        <w:t>settlement and compounding (Section 147)</w:t>
      </w:r>
      <w:r>
        <w:rPr>
          <w:rFonts w:ascii="Calibri" w:hAnsi="Calibri"/>
          <w:b w:val="0"/>
          <w:i w:val="0"/>
          <w:color w:val="1B2A32"/>
          <w:sz w:val="21"/>
        </w:rPr>
        <w:t xml:space="preserve">. On payment (secured through escrow), the parties file a compounding memorandum (Form F-L08) so the court may close the case; the graded-cost guidance in </w:t>
      </w:r>
      <w:r>
        <w:rPr>
          <w:rFonts w:ascii="Calibri" w:hAnsi="Calibri"/>
          <w:b/>
          <w:i w:val="0"/>
          <w:color w:val="1B2A32"/>
          <w:sz w:val="21"/>
        </w:rPr>
        <w:t>Damodar Prabhu</w:t>
      </w:r>
      <w:r>
        <w:rPr>
          <w:rFonts w:ascii="Calibri" w:hAnsi="Calibri"/>
          <w:b w:val="0"/>
          <w:i w:val="0"/>
          <w:color w:val="1B2A32"/>
          <w:sz w:val="21"/>
        </w:rPr>
        <w:t xml:space="preserve"> is explained to encourage early settlement. A quasi-criminal matter is handled with care: the neutral does not pressure a party with the threat of conviction, and both sides may take legal advice before compounding.</w:t>
      </w:r>
    </w:p>
    <w:p>
      <w:pPr>
        <w:keepNext/>
        <w:spacing w:before="280" w:after="120"/>
        <w:pBdr>
          <w:bottom w:val="single" w:sz="12" w:space="3" w:color="C6A15B"/>
        </w:pBdr>
      </w:pPr>
      <w:r>
        <w:rPr>
          <w:rFonts w:ascii="Calibri" w:hAnsi="Calibri"/>
          <w:b/>
          <w:i w:val="0"/>
          <w:color w:val="123B4F"/>
          <w:sz w:val="32"/>
        </w:rPr>
        <w:t>14.  Coordination with Statutory Forums</w:t>
      </w:r>
    </w:p>
    <w:p>
      <w:pPr>
        <w:spacing w:after="120"/>
        <w:jc w:val="both"/>
      </w:pPr>
      <w:r>
        <w:rPr>
          <w:rFonts w:ascii="Calibri" w:hAnsi="Calibri"/>
          <w:b w:val="0"/>
          <w:i w:val="0"/>
          <w:color w:val="1B2A32"/>
          <w:sz w:val="21"/>
        </w:rPr>
        <w:t xml:space="preserve">Equator complements, and does not replace, the statutory forums. The Case Manager signposts and, where lawful, runs a parallel settlement in relation to: the </w:t>
      </w:r>
      <w:r>
        <w:rPr>
          <w:rFonts w:ascii="Calibri" w:hAnsi="Calibri"/>
          <w:b/>
          <w:i w:val="0"/>
          <w:color w:val="1B2A32"/>
          <w:sz w:val="21"/>
        </w:rPr>
        <w:t>RBI Integrated Ombudsman</w:t>
      </w:r>
      <w:r>
        <w:rPr>
          <w:rFonts w:ascii="Calibri" w:hAnsi="Calibri"/>
          <w:b w:val="0"/>
          <w:i w:val="0"/>
          <w:color w:val="1B2A32"/>
          <w:sz w:val="21"/>
        </w:rPr>
        <w:t xml:space="preserve"> (after the 30-day lender grievance window); the </w:t>
      </w:r>
      <w:r>
        <w:rPr>
          <w:rFonts w:ascii="Calibri" w:hAnsi="Calibri"/>
          <w:b/>
          <w:i w:val="0"/>
          <w:color w:val="1B2A32"/>
          <w:sz w:val="21"/>
        </w:rPr>
        <w:t>Debts Recovery Tribunal</w:t>
      </w:r>
      <w:r>
        <w:rPr>
          <w:rFonts w:ascii="Calibri" w:hAnsi="Calibri"/>
          <w:b w:val="0"/>
          <w:i w:val="0"/>
          <w:color w:val="1B2A32"/>
          <w:sz w:val="21"/>
        </w:rPr>
        <w:t xml:space="preserve"> and </w:t>
      </w:r>
      <w:r>
        <w:rPr>
          <w:rFonts w:ascii="Calibri" w:hAnsi="Calibri"/>
          <w:b/>
          <w:i w:val="0"/>
          <w:color w:val="1B2A32"/>
          <w:sz w:val="21"/>
        </w:rPr>
        <w:t>SARFAESI</w:t>
      </w:r>
      <w:r>
        <w:rPr>
          <w:rFonts w:ascii="Calibri" w:hAnsi="Calibri"/>
          <w:b w:val="0"/>
          <w:i w:val="0"/>
          <w:color w:val="1B2A32"/>
          <w:sz w:val="21"/>
        </w:rPr>
        <w:t xml:space="preserve"> (enforcement is non-mediable — Equator may still mediate an OTS around it); the </w:t>
      </w:r>
      <w:r>
        <w:rPr>
          <w:rFonts w:ascii="Calibri" w:hAnsi="Calibri"/>
          <w:b/>
          <w:i w:val="0"/>
          <w:color w:val="1B2A32"/>
          <w:sz w:val="21"/>
        </w:rPr>
        <w:t>consumer commission</w:t>
      </w:r>
      <w:r>
        <w:rPr>
          <w:rFonts w:ascii="Calibri" w:hAnsi="Calibri"/>
          <w:b w:val="0"/>
          <w:i w:val="0"/>
          <w:color w:val="1B2A32"/>
          <w:sz w:val="21"/>
        </w:rPr>
        <w:t xml:space="preserve">; the </w:t>
      </w:r>
      <w:r>
        <w:rPr>
          <w:rFonts w:ascii="Calibri" w:hAnsi="Calibri"/>
          <w:b/>
          <w:i w:val="0"/>
          <w:color w:val="1B2A32"/>
          <w:sz w:val="21"/>
        </w:rPr>
        <w:t>Lok Adalat</w:t>
      </w:r>
      <w:r>
        <w:rPr>
          <w:rFonts w:ascii="Calibri" w:hAnsi="Calibri"/>
          <w:b w:val="0"/>
          <w:i w:val="0"/>
          <w:color w:val="1B2A32"/>
          <w:sz w:val="21"/>
        </w:rPr>
        <w:t xml:space="preserve"> (for recording awards); and, for MSME borrowers, </w:t>
      </w:r>
      <w:r>
        <w:rPr>
          <w:rFonts w:ascii="Calibri" w:hAnsi="Calibri"/>
          <w:b/>
          <w:i w:val="0"/>
          <w:color w:val="1B2A32"/>
          <w:sz w:val="21"/>
        </w:rPr>
        <w:t>MSME Samadhaan</w:t>
      </w:r>
      <w:r>
        <w:rPr>
          <w:rFonts w:ascii="Calibri" w:hAnsi="Calibri"/>
          <w:b w:val="0"/>
          <w:i w:val="0"/>
          <w:color w:val="1B2A32"/>
          <w:sz w:val="21"/>
        </w:rPr>
        <w:t xml:space="preserve"> where applicable.</w:t>
      </w:r>
    </w:p>
    <w:p>
      <w:pPr>
        <w:keepNext/>
        <w:spacing w:before="280" w:after="120"/>
        <w:pBdr>
          <w:bottom w:val="single" w:sz="12" w:space="3" w:color="C6A15B"/>
        </w:pBdr>
      </w:pPr>
      <w:r>
        <w:rPr>
          <w:rFonts w:ascii="Calibri" w:hAnsi="Calibri"/>
          <w:b/>
          <w:i w:val="0"/>
          <w:color w:val="123B4F"/>
          <w:sz w:val="32"/>
        </w:rPr>
        <w:t>15.  Time Limits</w:t>
      </w:r>
    </w:p>
    <w:p>
      <w:pPr>
        <w:spacing w:after="120"/>
        <w:jc w:val="both"/>
      </w:pPr>
      <w:r>
        <w:rPr>
          <w:rFonts w:ascii="Calibri" w:hAnsi="Calibri"/>
          <w:b w:val="0"/>
          <w:i w:val="0"/>
          <w:color w:val="1B2A32"/>
          <w:sz w:val="21"/>
        </w:rPr>
        <w:t xml:space="preserve">The Institution runs a disciplined clock. A mediation is to be completed within the period fixed by the Case Manager, ordinarily </w:t>
      </w:r>
      <w:r>
        <w:rPr>
          <w:rFonts w:ascii="Calibri" w:hAnsi="Calibri"/>
          <w:b/>
          <w:i w:val="0"/>
          <w:color w:val="1B2A32"/>
          <w:sz w:val="21"/>
        </w:rPr>
        <w:t>45–60 days</w:t>
      </w:r>
      <w:r>
        <w:rPr>
          <w:rFonts w:ascii="Calibri" w:hAnsi="Calibri"/>
          <w:b w:val="0"/>
          <w:i w:val="0"/>
          <w:color w:val="1B2A32"/>
          <w:sz w:val="21"/>
        </w:rPr>
        <w:t>, extendable by consent (Form F-L20). Cheque-bounce settlements are aligned to the court/Lok Adalat calendar. Nothing in these Rules extends or curtails any statutory limitation period; parties are advised to protect limitation independently.</w:t>
      </w:r>
    </w:p>
    <w:p>
      <w:pPr>
        <w:keepNext/>
        <w:spacing w:before="280" w:after="120"/>
        <w:pBdr>
          <w:bottom w:val="single" w:sz="12" w:space="3" w:color="C6A15B"/>
        </w:pBdr>
      </w:pPr>
      <w:r>
        <w:rPr>
          <w:rFonts w:ascii="Calibri" w:hAnsi="Calibri"/>
          <w:b/>
          <w:i w:val="0"/>
          <w:color w:val="123B4F"/>
          <w:sz w:val="32"/>
        </w:rPr>
        <w:t>16.  Costs &amp; Fees</w:t>
      </w:r>
    </w:p>
    <w:p>
      <w:pPr>
        <w:spacing w:after="120"/>
        <w:jc w:val="both"/>
      </w:pPr>
      <w:r>
        <w:rPr>
          <w:rFonts w:ascii="Calibri" w:hAnsi="Calibri"/>
          <w:b w:val="0"/>
          <w:i w:val="0"/>
          <w:color w:val="1B2A32"/>
          <w:sz w:val="21"/>
        </w:rPr>
        <w:t xml:space="preserve">Fees are charged under the </w:t>
      </w:r>
      <w:r>
        <w:rPr>
          <w:rFonts w:ascii="Calibri" w:hAnsi="Calibri"/>
          <w:b/>
          <w:i w:val="0"/>
          <w:color w:val="1B2A32"/>
          <w:sz w:val="21"/>
        </w:rPr>
        <w:t>Schedule of Fees (Tariff)</w:t>
      </w:r>
      <w:r>
        <w:rPr>
          <w:rFonts w:ascii="Calibri" w:hAnsi="Calibri"/>
          <w:b w:val="0"/>
          <w:i w:val="0"/>
          <w:color w:val="1B2A32"/>
          <w:sz w:val="21"/>
        </w:rPr>
        <w:t>, comprising a registration fee, an administration fee scaled to the amount in dispute, the neutral's fee, and escrow handling. Concessions apply to small-value and consumer matters. Unless agreed otherwise, administration and neutral fees are shared equally; each party bears its own representation costs. The Tariff is indicative and may be updated by the Institution.</w:t>
      </w:r>
    </w:p>
    <w:p>
      <w:pPr>
        <w:keepNext/>
        <w:spacing w:before="280" w:after="120"/>
        <w:pBdr>
          <w:bottom w:val="single" w:sz="12" w:space="3" w:color="C6A15B"/>
        </w:pBdr>
      </w:pPr>
      <w:r>
        <w:rPr>
          <w:rFonts w:ascii="Calibri" w:hAnsi="Calibri"/>
          <w:b/>
          <w:i w:val="0"/>
          <w:color w:val="123B4F"/>
          <w:sz w:val="32"/>
        </w:rPr>
        <w:t>17.  Termination &amp; Failure to Settle</w:t>
      </w:r>
    </w:p>
    <w:p>
      <w:pPr>
        <w:spacing w:after="120"/>
        <w:jc w:val="both"/>
      </w:pPr>
      <w:r>
        <w:rPr>
          <w:rFonts w:ascii="Calibri" w:hAnsi="Calibri"/>
          <w:b w:val="0"/>
          <w:i w:val="0"/>
          <w:color w:val="1B2A32"/>
          <w:sz w:val="21"/>
        </w:rPr>
        <w:t>The process ends on a signed Settlement Agreement, on a written declaration by the neutral that settlement is unlikely, on a party's withdrawal, or on non-payment of fees after notice. Termination without settlement does not prejudice a party's right to pursue any lawful remedy, and the confidentiality and without-prejudice protections survive termination.</w:t>
      </w:r>
    </w:p>
    <w:p>
      <w:pPr>
        <w:keepNext/>
        <w:spacing w:before="280" w:after="120"/>
        <w:pBdr>
          <w:bottom w:val="single" w:sz="12" w:space="3" w:color="C6A15B"/>
        </w:pBdr>
      </w:pPr>
      <w:r>
        <w:rPr>
          <w:rFonts w:ascii="Calibri" w:hAnsi="Calibri"/>
          <w:b/>
          <w:i w:val="0"/>
          <w:color w:val="123B4F"/>
          <w:sz w:val="32"/>
        </w:rPr>
        <w:t>18.  Data Protection</w:t>
      </w:r>
    </w:p>
    <w:p>
      <w:pPr>
        <w:spacing w:after="120"/>
        <w:jc w:val="both"/>
      </w:pPr>
      <w:r>
        <w:rPr>
          <w:rFonts w:ascii="Calibri" w:hAnsi="Calibri"/>
          <w:b w:val="0"/>
          <w:i w:val="0"/>
          <w:color w:val="1B2A32"/>
          <w:sz w:val="21"/>
        </w:rPr>
        <w:t xml:space="preserve">Equator processes personal and financial data in accordance with the </w:t>
      </w:r>
      <w:r>
        <w:rPr>
          <w:rFonts w:ascii="Calibri" w:hAnsi="Calibri"/>
          <w:b/>
          <w:i w:val="0"/>
          <w:color w:val="1B2A32"/>
          <w:sz w:val="21"/>
        </w:rPr>
        <w:t>Digital Personal Data Protection Act, 2023</w:t>
      </w:r>
      <w:r>
        <w:rPr>
          <w:rFonts w:ascii="Calibri" w:hAnsi="Calibri"/>
          <w:b w:val="0"/>
          <w:i w:val="0"/>
          <w:color w:val="1B2A32"/>
          <w:sz w:val="21"/>
        </w:rPr>
        <w:t xml:space="preserve"> and its Rules: lawful consent, purpose limitation, data minimisation, security safeguards, and breach handling. Account numbers and sensitive identifiers are masked in the case record; retention follows the published schedule. See the Compliance &amp; Security Workbook and the DPIA in the Master Blueprint.</w:t>
      </w:r>
    </w:p>
    <w:p>
      <w:pPr>
        <w:keepNext/>
        <w:spacing w:before="280" w:after="120"/>
        <w:pBdr>
          <w:bottom w:val="single" w:sz="12" w:space="3" w:color="C6A15B"/>
        </w:pBdr>
      </w:pPr>
      <w:r>
        <w:rPr>
          <w:rFonts w:ascii="Calibri" w:hAnsi="Calibri"/>
          <w:b/>
          <w:i w:val="0"/>
          <w:color w:val="123B4F"/>
          <w:sz w:val="32"/>
        </w:rPr>
        <w:t>19.  Ethics &amp; Borrower Protection</w:t>
      </w:r>
    </w:p>
    <w:p>
      <w:pPr>
        <w:spacing w:after="120"/>
        <w:jc w:val="both"/>
      </w:pPr>
      <w:r>
        <w:rPr>
          <w:rFonts w:ascii="Calibri" w:hAnsi="Calibri"/>
          <w:b w:val="0"/>
          <w:i w:val="0"/>
          <w:color w:val="1B2A32"/>
          <w:sz w:val="21"/>
        </w:rPr>
        <w:t xml:space="preserve">Neutrals and staff must observe the </w:t>
      </w:r>
      <w:r>
        <w:rPr>
          <w:rFonts w:ascii="Calibri" w:hAnsi="Calibri"/>
          <w:b/>
          <w:i w:val="0"/>
          <w:color w:val="1B2A32"/>
          <w:sz w:val="21"/>
        </w:rPr>
        <w:t>Code of Conduct</w:t>
      </w:r>
      <w:r>
        <w:rPr>
          <w:rFonts w:ascii="Calibri" w:hAnsi="Calibri"/>
          <w:b w:val="0"/>
          <w:i w:val="0"/>
          <w:color w:val="1B2A32"/>
          <w:sz w:val="21"/>
        </w:rPr>
        <w:t xml:space="preserve"> (Annexure A). In particular, a settlement must be </w:t>
      </w:r>
      <w:r>
        <w:rPr>
          <w:rFonts w:ascii="Calibri" w:hAnsi="Calibri"/>
          <w:b/>
          <w:i w:val="0"/>
          <w:color w:val="1B2A32"/>
          <w:sz w:val="21"/>
        </w:rPr>
        <w:t>genuinely voluntary</w:t>
      </w:r>
      <w:r>
        <w:rPr>
          <w:rFonts w:ascii="Calibri" w:hAnsi="Calibri"/>
          <w:b w:val="0"/>
          <w:i w:val="0"/>
          <w:color w:val="1B2A32"/>
          <w:sz w:val="21"/>
        </w:rPr>
        <w:t xml:space="preserve">; no borrower may be coerced or pressured into an unaffordable settlement; recovery harassment is escalated, not tolerated; and the credit record must be reported </w:t>
      </w:r>
      <w:r>
        <w:rPr>
          <w:rFonts w:ascii="Calibri" w:hAnsi="Calibri"/>
          <w:b/>
          <w:i w:val="0"/>
          <w:color w:val="1B2A32"/>
          <w:sz w:val="21"/>
        </w:rPr>
        <w:t>accurately</w:t>
      </w:r>
      <w:r>
        <w:rPr>
          <w:rFonts w:ascii="Calibri" w:hAnsi="Calibri"/>
          <w:b w:val="0"/>
          <w:i w:val="0"/>
          <w:color w:val="1B2A32"/>
          <w:sz w:val="21"/>
        </w:rPr>
        <w:t>. Where a borrower appears unable to give informed consent, the neutral pauses and signposts support.</w:t>
      </w:r>
    </w:p>
    <w:p>
      <w:pPr>
        <w:keepNext/>
        <w:spacing w:before="280" w:after="120"/>
        <w:pBdr>
          <w:bottom w:val="single" w:sz="12" w:space="3" w:color="C6A15B"/>
        </w:pBdr>
      </w:pPr>
      <w:r>
        <w:rPr>
          <w:rFonts w:ascii="Calibri" w:hAnsi="Calibri"/>
          <w:b/>
          <w:i w:val="0"/>
          <w:color w:val="123B4F"/>
          <w:sz w:val="32"/>
        </w:rPr>
        <w:t>20.  Exclusions &amp; Limitations</w:t>
      </w:r>
    </w:p>
    <w:p>
      <w:pPr>
        <w:spacing w:after="120"/>
        <w:jc w:val="both"/>
      </w:pPr>
      <w:r>
        <w:rPr>
          <w:rFonts w:ascii="Calibri" w:hAnsi="Calibri"/>
          <w:b w:val="0"/>
          <w:i w:val="0"/>
          <w:color w:val="1B2A32"/>
          <w:sz w:val="21"/>
        </w:rPr>
        <w:t xml:space="preserve">The following are </w:t>
      </w:r>
      <w:r>
        <w:rPr>
          <w:rFonts w:ascii="Calibri" w:hAnsi="Calibri"/>
          <w:b/>
          <w:i w:val="0"/>
          <w:color w:val="1B2A32"/>
          <w:sz w:val="21"/>
        </w:rPr>
        <w:t>outside</w:t>
      </w:r>
      <w:r>
        <w:rPr>
          <w:rFonts w:ascii="Calibri" w:hAnsi="Calibri"/>
          <w:b w:val="0"/>
          <w:i w:val="0"/>
          <w:color w:val="1B2A32"/>
          <w:sz w:val="21"/>
        </w:rPr>
        <w:t xml:space="preserve"> the scope of settlement under these Rules, save that Equator may facilitate a consensual arrangement where the law permits:</w:t>
      </w:r>
    </w:p>
    <w:p>
      <w:pPr>
        <w:pStyle w:val="ListBullet"/>
        <w:spacing w:after="60"/>
        <w:jc w:val="both"/>
      </w:pPr>
      <w:r>
        <w:rPr>
          <w:rFonts w:ascii="Calibri" w:hAnsi="Calibri"/>
          <w:b/>
          <w:i w:val="0"/>
          <w:color w:val="1B2A32"/>
          <w:sz w:val="21"/>
        </w:rPr>
        <w:t>Enforcement of security under SARFAESI</w:t>
      </w:r>
      <w:r>
        <w:rPr>
          <w:rFonts w:ascii="Calibri" w:hAnsi="Calibri"/>
          <w:b w:val="0"/>
          <w:i w:val="0"/>
          <w:color w:val="1B2A32"/>
          <w:sz w:val="21"/>
        </w:rPr>
        <w:t xml:space="preserve"> and recovery adjudication before the </w:t>
      </w:r>
      <w:r>
        <w:rPr>
          <w:rFonts w:ascii="Calibri" w:hAnsi="Calibri"/>
          <w:b/>
          <w:i w:val="0"/>
          <w:color w:val="1B2A32"/>
          <w:sz w:val="21"/>
        </w:rPr>
        <w:t>DRT</w:t>
      </w:r>
      <w:r>
        <w:rPr>
          <w:rFonts w:ascii="Calibri" w:hAnsi="Calibri"/>
          <w:b w:val="0"/>
          <w:i w:val="0"/>
          <w:color w:val="1B2A32"/>
          <w:sz w:val="21"/>
        </w:rPr>
        <w:t xml:space="preserve"> (statutory, non-mediable);</w:t>
      </w:r>
    </w:p>
    <w:p>
      <w:pPr>
        <w:pStyle w:val="ListBullet"/>
        <w:spacing w:after="60"/>
        <w:jc w:val="both"/>
      </w:pPr>
      <w:r>
        <w:rPr>
          <w:rFonts w:ascii="Calibri" w:hAnsi="Calibri"/>
          <w:b w:val="0"/>
          <w:i w:val="0"/>
          <w:color w:val="1B2A32"/>
          <w:sz w:val="21"/>
        </w:rPr>
        <w:t>Matters within the exclusive jurisdiction of a court or tribunal, or which are non-arbitrable/non-mediable in nature;</w:t>
      </w:r>
    </w:p>
    <w:p>
      <w:pPr>
        <w:pStyle w:val="ListBullet"/>
        <w:spacing w:after="60"/>
        <w:jc w:val="both"/>
      </w:pPr>
      <w:r>
        <w:rPr>
          <w:rFonts w:ascii="Calibri" w:hAnsi="Calibri"/>
          <w:b/>
          <w:i w:val="0"/>
          <w:color w:val="1B2A32"/>
          <w:sz w:val="21"/>
        </w:rPr>
        <w:t>Fraud, wilful default</w:t>
      </w:r>
      <w:r>
        <w:rPr>
          <w:rFonts w:ascii="Calibri" w:hAnsi="Calibri"/>
          <w:b w:val="0"/>
          <w:i w:val="0"/>
          <w:color w:val="1B2A32"/>
          <w:sz w:val="21"/>
        </w:rPr>
        <w:t xml:space="preserve"> classification, money-laundering and other matters of public/criminal character (beyond a lawful compounding of a compoundable offence);</w:t>
      </w:r>
    </w:p>
    <w:p>
      <w:pPr>
        <w:pStyle w:val="ListBullet"/>
        <w:spacing w:after="60"/>
        <w:jc w:val="both"/>
      </w:pPr>
      <w:r>
        <w:rPr>
          <w:rFonts w:ascii="Calibri" w:hAnsi="Calibri"/>
          <w:b w:val="0"/>
          <w:i w:val="0"/>
          <w:color w:val="1B2A32"/>
          <w:sz w:val="21"/>
        </w:rPr>
        <w:t>Any matter the Institution considers unsuitable for consensual resolution or contrary to law or public policy.</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Not a debt-collection service</w:t>
            </w:r>
          </w:p>
          <w:p>
            <w:r>
              <w:rPr>
                <w:rFonts w:ascii="Calibri" w:hAnsi="Calibri"/>
                <w:b w:val="0"/>
                <w:i w:val="0"/>
                <w:color w:val="1B2A32"/>
                <w:sz w:val="19"/>
              </w:rPr>
              <w:t>Equator does not act for lenders as a recovery or collections agent, and neutrals must not facilitate conduct that breaches the RBI Fair Practices Code or the law. The Institution's role is neutral settlement, not recovery.</w:t>
            </w:r>
          </w:p>
        </w:tc>
      </w:tr>
    </w:tbl>
    <w:p>
      <w:pPr>
        <w:spacing w:after="40"/>
      </w:pPr>
    </w:p>
    <w:p>
      <w:pPr>
        <w:keepNext/>
        <w:spacing w:before="280" w:after="120"/>
        <w:pBdr>
          <w:bottom w:val="single" w:sz="12" w:space="3" w:color="C6A15B"/>
        </w:pBdr>
      </w:pPr>
      <w:r>
        <w:rPr>
          <w:rFonts w:ascii="Calibri" w:hAnsi="Calibri"/>
          <w:b/>
          <w:i w:val="0"/>
          <w:color w:val="123B4F"/>
          <w:sz w:val="32"/>
        </w:rPr>
        <w:t>21.  Limitation of Liability &amp; General</w:t>
      </w:r>
    </w:p>
    <w:p>
      <w:pPr>
        <w:spacing w:after="120"/>
        <w:jc w:val="both"/>
      </w:pPr>
      <w:r>
        <w:rPr>
          <w:rFonts w:ascii="Calibri" w:hAnsi="Calibri"/>
          <w:b w:val="0"/>
          <w:i w:val="0"/>
          <w:color w:val="1B2A32"/>
          <w:sz w:val="21"/>
        </w:rPr>
        <w:t>The Institution and its neutrals act in good faith and are not liable for the parties' commercial decisions or for any settlement the parties choose to make. These Rules may be amended by the Institution; the version current at commencement governs a case. Any question on the interpretation of these Rules is decided by the Institution. These Rules are governed by the laws of India.</w:t>
      </w:r>
    </w:p>
    <w:p>
      <w:r>
        <w:br w:type="page"/>
      </w:r>
    </w:p>
    <w:p>
      <w:pPr>
        <w:keepNext/>
        <w:spacing w:before="280" w:after="120"/>
        <w:pBdr>
          <w:bottom w:val="single" w:sz="12" w:space="3" w:color="C6A15B"/>
        </w:pBdr>
      </w:pPr>
      <w:r>
        <w:rPr>
          <w:rFonts w:ascii="Calibri" w:hAnsi="Calibri"/>
          <w:b/>
          <w:i w:val="0"/>
          <w:color w:val="123B4F"/>
          <w:sz w:val="32"/>
        </w:rPr>
        <w:t>Annexure A — Neutral Code of Conduct</w:t>
      </w:r>
    </w:p>
    <w:p>
      <w:pPr>
        <w:spacing w:after="120"/>
        <w:jc w:val="both"/>
      </w:pPr>
      <w:r>
        <w:rPr>
          <w:rFonts w:ascii="Calibri" w:hAnsi="Calibri"/>
          <w:b w:val="0"/>
          <w:i w:val="0"/>
          <w:color w:val="1B2A32"/>
          <w:sz w:val="21"/>
        </w:rPr>
        <w:t>Every Equator financial neutral agrees to and is bound by this Code.</w:t>
      </w:r>
    </w:p>
    <w:p>
      <w:pPr>
        <w:keepNext/>
        <w:spacing w:before="200" w:after="60"/>
      </w:pPr>
      <w:r>
        <w:rPr>
          <w:rFonts w:ascii="Calibri" w:hAnsi="Calibri"/>
          <w:b/>
          <w:i w:val="0"/>
          <w:color w:val="1E7A8C"/>
          <w:sz w:val="25"/>
        </w:rPr>
        <w:t>A.1 Core duties</w:t>
      </w:r>
    </w:p>
    <w:p>
      <w:pPr>
        <w:pStyle w:val="ListBullet"/>
        <w:spacing w:after="60"/>
        <w:jc w:val="both"/>
      </w:pPr>
      <w:r>
        <w:rPr>
          <w:rFonts w:ascii="Calibri" w:hAnsi="Calibri"/>
          <w:b/>
          <w:i w:val="0"/>
          <w:color w:val="1B2A32"/>
          <w:sz w:val="21"/>
        </w:rPr>
        <w:t>Independence &amp; impartiality</w:t>
      </w:r>
      <w:r>
        <w:rPr>
          <w:rFonts w:ascii="Calibri" w:hAnsi="Calibri"/>
          <w:b w:val="0"/>
          <w:i w:val="0"/>
          <w:color w:val="1B2A32"/>
          <w:sz w:val="21"/>
        </w:rPr>
        <w:t xml:space="preserve"> — act without favour to lender or borrower; disclose and manage every conflict.</w:t>
      </w:r>
    </w:p>
    <w:p>
      <w:pPr>
        <w:pStyle w:val="ListBullet"/>
        <w:spacing w:after="60"/>
        <w:jc w:val="both"/>
      </w:pPr>
      <w:r>
        <w:rPr>
          <w:rFonts w:ascii="Calibri" w:hAnsi="Calibri"/>
          <w:b/>
          <w:i w:val="0"/>
          <w:color w:val="1B2A32"/>
          <w:sz w:val="21"/>
        </w:rPr>
        <w:t>Competence</w:t>
      </w:r>
      <w:r>
        <w:rPr>
          <w:rFonts w:ascii="Calibri" w:hAnsi="Calibri"/>
          <w:b w:val="0"/>
          <w:i w:val="0"/>
          <w:color w:val="1B2A32"/>
          <w:sz w:val="21"/>
        </w:rPr>
        <w:t xml:space="preserve"> — accept only matters within one's competence; maintain training in financial law and mediation.</w:t>
      </w:r>
    </w:p>
    <w:p>
      <w:pPr>
        <w:pStyle w:val="ListBullet"/>
        <w:spacing w:after="60"/>
        <w:jc w:val="both"/>
      </w:pPr>
      <w:r>
        <w:rPr>
          <w:rFonts w:ascii="Calibri" w:hAnsi="Calibri"/>
          <w:b/>
          <w:i w:val="0"/>
          <w:color w:val="1B2A32"/>
          <w:sz w:val="21"/>
        </w:rPr>
        <w:t>Voluntariness</w:t>
      </w:r>
      <w:r>
        <w:rPr>
          <w:rFonts w:ascii="Calibri" w:hAnsi="Calibri"/>
          <w:b w:val="0"/>
          <w:i w:val="0"/>
          <w:color w:val="1B2A32"/>
          <w:sz w:val="21"/>
        </w:rPr>
        <w:t xml:space="preserve"> — ensure the settlement is the parties' own; never coerce, and never lend the Institution's weight to recovery.</w:t>
      </w:r>
    </w:p>
    <w:p>
      <w:pPr>
        <w:pStyle w:val="ListBullet"/>
        <w:spacing w:after="60"/>
        <w:jc w:val="both"/>
      </w:pPr>
      <w:r>
        <w:rPr>
          <w:rFonts w:ascii="Calibri" w:hAnsi="Calibri"/>
          <w:b/>
          <w:i w:val="0"/>
          <w:color w:val="1B2A32"/>
          <w:sz w:val="21"/>
        </w:rPr>
        <w:t>Confidentiality</w:t>
      </w:r>
      <w:r>
        <w:rPr>
          <w:rFonts w:ascii="Calibri" w:hAnsi="Calibri"/>
          <w:b w:val="0"/>
          <w:i w:val="0"/>
          <w:color w:val="1B2A32"/>
          <w:sz w:val="21"/>
        </w:rPr>
        <w:t xml:space="preserve"> — keep the process and each party's information confidential; honour the without-prejudice rule.</w:t>
      </w:r>
    </w:p>
    <w:p>
      <w:pPr>
        <w:pStyle w:val="ListBullet"/>
        <w:spacing w:after="60"/>
        <w:jc w:val="both"/>
      </w:pPr>
      <w:r>
        <w:rPr>
          <w:rFonts w:ascii="Calibri" w:hAnsi="Calibri"/>
          <w:b/>
          <w:i w:val="0"/>
          <w:color w:val="1B2A32"/>
          <w:sz w:val="21"/>
        </w:rPr>
        <w:t>Fairness to vulnerable parties</w:t>
      </w:r>
      <w:r>
        <w:rPr>
          <w:rFonts w:ascii="Calibri" w:hAnsi="Calibri"/>
          <w:b w:val="0"/>
          <w:i w:val="0"/>
          <w:color w:val="1B2A32"/>
          <w:sz w:val="21"/>
        </w:rPr>
        <w:t xml:space="preserve"> — give unrepresented or distressed borrowers time, clarity and the chance to take advice.</w:t>
      </w:r>
    </w:p>
    <w:p>
      <w:pPr>
        <w:pStyle w:val="ListBullet"/>
        <w:spacing w:after="60"/>
        <w:jc w:val="both"/>
      </w:pPr>
      <w:r>
        <w:rPr>
          <w:rFonts w:ascii="Calibri" w:hAnsi="Calibri"/>
          <w:b/>
          <w:i w:val="0"/>
          <w:color w:val="1B2A32"/>
          <w:sz w:val="21"/>
        </w:rPr>
        <w:t>Accuracy</w:t>
      </w:r>
      <w:r>
        <w:rPr>
          <w:rFonts w:ascii="Calibri" w:hAnsi="Calibri"/>
          <w:b w:val="0"/>
          <w:i w:val="0"/>
          <w:color w:val="1B2A32"/>
          <w:sz w:val="21"/>
        </w:rPr>
        <w:t xml:space="preserve"> — do not agree language that misstates a borrower's account status to the credit bureaus.</w:t>
      </w:r>
    </w:p>
    <w:p>
      <w:pPr>
        <w:pStyle w:val="ListBullet"/>
        <w:spacing w:after="60"/>
        <w:jc w:val="both"/>
      </w:pPr>
      <w:r>
        <w:rPr>
          <w:rFonts w:ascii="Calibri" w:hAnsi="Calibri"/>
          <w:b/>
          <w:i w:val="0"/>
          <w:color w:val="1B2A32"/>
          <w:sz w:val="21"/>
        </w:rPr>
        <w:t>Integrity</w:t>
      </w:r>
      <w:r>
        <w:rPr>
          <w:rFonts w:ascii="Calibri" w:hAnsi="Calibri"/>
          <w:b w:val="0"/>
          <w:i w:val="0"/>
          <w:color w:val="1B2A32"/>
          <w:sz w:val="21"/>
        </w:rPr>
        <w:t xml:space="preserve"> — no solicitation of the parties, no personal benefit, no misuse of information.</w:t>
      </w:r>
    </w:p>
    <w:p>
      <w:pPr>
        <w:keepNext/>
        <w:spacing w:before="200" w:after="60"/>
      </w:pPr>
      <w:r>
        <w:rPr>
          <w:rFonts w:ascii="Calibri" w:hAnsi="Calibri"/>
          <w:b/>
          <w:i w:val="0"/>
          <w:color w:val="1E7A8C"/>
          <w:sz w:val="25"/>
        </w:rPr>
        <w:t>A.2 Prohibited conduct</w:t>
      </w:r>
    </w:p>
    <w:p>
      <w:pPr>
        <w:pStyle w:val="ListBullet"/>
        <w:spacing w:after="60"/>
        <w:jc w:val="both"/>
      </w:pPr>
      <w:r>
        <w:rPr>
          <w:rFonts w:ascii="Calibri" w:hAnsi="Calibri"/>
          <w:b w:val="0"/>
          <w:i w:val="0"/>
          <w:color w:val="1B2A32"/>
          <w:sz w:val="21"/>
        </w:rPr>
        <w:t>Acting despite an undisclosed conflict; giving legal or financial advice; deciding the dispute;</w:t>
      </w:r>
    </w:p>
    <w:p>
      <w:pPr>
        <w:pStyle w:val="ListBullet"/>
        <w:spacing w:after="60"/>
        <w:jc w:val="both"/>
      </w:pPr>
      <w:r>
        <w:rPr>
          <w:rFonts w:ascii="Calibri" w:hAnsi="Calibri"/>
          <w:b w:val="0"/>
          <w:i w:val="0"/>
          <w:color w:val="1B2A32"/>
          <w:sz w:val="21"/>
        </w:rPr>
        <w:t>Facilitating harassment, threats or any breach of the RBI Fair Practices Code;</w:t>
      </w:r>
    </w:p>
    <w:p>
      <w:pPr>
        <w:pStyle w:val="ListBullet"/>
        <w:spacing w:after="60"/>
        <w:jc w:val="both"/>
      </w:pPr>
      <w:r>
        <w:rPr>
          <w:rFonts w:ascii="Calibri" w:hAnsi="Calibri"/>
          <w:b w:val="0"/>
          <w:i w:val="0"/>
          <w:color w:val="1B2A32"/>
          <w:sz w:val="21"/>
        </w:rPr>
        <w:t>Pressuring a party with the threat of criminal conviction in a cheque matter;</w:t>
      </w:r>
    </w:p>
    <w:p>
      <w:pPr>
        <w:pStyle w:val="ListBullet"/>
        <w:spacing w:after="60"/>
        <w:jc w:val="both"/>
      </w:pPr>
      <w:r>
        <w:rPr>
          <w:rFonts w:ascii="Calibri" w:hAnsi="Calibri"/>
          <w:b w:val="0"/>
          <w:i w:val="0"/>
          <w:color w:val="1B2A32"/>
          <w:sz w:val="21"/>
        </w:rPr>
        <w:t>Continuing where a party lacks capacity to give informed consent.</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Breach</w:t>
            </w:r>
          </w:p>
          <w:p>
            <w:r>
              <w:rPr>
                <w:rFonts w:ascii="Calibri" w:hAnsi="Calibri"/>
                <w:b w:val="0"/>
                <w:i w:val="0"/>
                <w:color w:val="1B2A32"/>
                <w:sz w:val="19"/>
              </w:rPr>
              <w:t>A breach of this Code may result in removal from the panel and, where applicable, referral to the relevant professional or statutory body.</w:t>
            </w:r>
          </w:p>
        </w:tc>
      </w:tr>
    </w:tbl>
    <w:p>
      <w:pPr>
        <w:spacing w:after="40"/>
      </w:pPr>
    </w:p>
    <w:p>
      <w:r>
        <w:br w:type="page"/>
      </w:r>
    </w:p>
    <w:p>
      <w:pPr>
        <w:keepNext/>
        <w:spacing w:before="280" w:after="120"/>
        <w:pBdr>
          <w:bottom w:val="single" w:sz="12" w:space="3" w:color="C6A15B"/>
        </w:pBdr>
      </w:pPr>
      <w:r>
        <w:rPr>
          <w:rFonts w:ascii="Calibri" w:hAnsi="Calibri"/>
          <w:b/>
          <w:i w:val="0"/>
          <w:color w:val="123B4F"/>
          <w:sz w:val="32"/>
        </w:rPr>
        <w:t>Annexure B — Model Reference Clause</w:t>
      </w:r>
    </w:p>
    <w:p>
      <w:pPr>
        <w:spacing w:after="120"/>
        <w:jc w:val="both"/>
      </w:pPr>
      <w:r>
        <w:rPr>
          <w:rFonts w:ascii="Calibri" w:hAnsi="Calibri"/>
          <w:b w:val="0"/>
          <w:i w:val="0"/>
          <w:color w:val="1B2A32"/>
          <w:sz w:val="21"/>
        </w:rPr>
        <w:t>Parties may adopt the following in loan or settlement documentation (see the Model Clause Library for variants):</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Equator loan-agreement ADR clause</w:t>
            </w:r>
          </w:p>
          <w:p>
            <w:r>
              <w:rPr>
                <w:rFonts w:ascii="Calibri" w:hAnsi="Calibri"/>
                <w:b w:val="0"/>
                <w:i w:val="0"/>
                <w:color w:val="1B2A32"/>
                <w:sz w:val="19"/>
              </w:rPr>
              <w:t>"Any dispute, difference or claim arising out of or in connection with this facility — including its existence, breach, the amount due, charges, recovery, or credit reporting — shall first be referred to mediation/conciliation administered by Equator Resolution under its Rules of Loan &amp; Financial Dispute Resolution. This clause does not preclude either party from approaching the RBI Ombudsman, a Lok Adalat, or, where applicable, a statutory forum; and it does not restrict a secured creditor's remedies under law."</w:t>
            </w:r>
          </w:p>
        </w:tc>
      </w:tr>
    </w:tbl>
    <w:p>
      <w:pPr>
        <w:spacing w:after="40"/>
      </w:pPr>
    </w:p>
    <w:p>
      <w:pPr>
        <w:spacing w:after="40"/>
        <w:jc w:val="both"/>
      </w:pPr>
      <w:r>
        <w:rPr>
          <w:rFonts w:ascii="Calibri" w:hAnsi="Calibri"/>
          <w:b w:val="0"/>
          <w:i w:val="0"/>
          <w:color w:val="1B2A32"/>
          <w:sz w:val="21"/>
        </w:rPr>
        <w:t>These Rules are a working draft for the Institution and must be settled by counsel and approved by the Board before adoption. They are not legal advice.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Financial &amp; Loan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0B43EB-9D3C-4229-88AF-DE065822B3A9}"/>
</file>

<file path=customXml/itemProps3.xml><?xml version="1.0" encoding="utf-8"?>
<ds:datastoreItem xmlns:ds="http://schemas.openxmlformats.org/officeDocument/2006/customXml" ds:itemID="{7883FD6D-8F8B-4B14-BA74-E3630261E54B}"/>
</file>

<file path=customXml/itemProps4.xml><?xml version="1.0" encoding="utf-8"?>
<ds:datastoreItem xmlns:ds="http://schemas.openxmlformats.org/officeDocument/2006/customXml" ds:itemID="{A85EF81C-C604-43A6-8A99-3305D389E6D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