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Digital Lending, Recovery Conduct &amp; Enforcement-Boundary Guide</w:t>
      </w:r>
    </w:p>
    <w:p>
      <w:pPr>
        <w:jc w:val="center"/>
      </w:pPr>
      <w:r>
        <w:rPr>
          <w:rFonts w:ascii="Calibri" w:hAnsi="Calibri"/>
          <w:b w:val="0"/>
          <w:i/>
          <w:color w:val="556168"/>
          <w:sz w:val="25"/>
        </w:rPr>
        <w:t>RBI digital-lending rules, fair recovery, and the SARFAESI/DRT/IBC boundary</w:t>
      </w:r>
    </w:p>
    <w:p/>
    <w:p/>
    <w:p/>
    <w:p/>
    <w:p/>
    <w:p/>
    <w:p/>
    <w:p/>
    <w:p>
      <w:pPr>
        <w:jc w:val="center"/>
      </w:pPr>
      <w:r>
        <w:rPr>
          <w:rFonts w:ascii="Calibri" w:hAnsi="Calibri"/>
          <w:b/>
          <w:i w:val="0"/>
          <w:color w:val="1E7A8C"/>
          <w:sz w:val="22"/>
        </w:rPr>
        <w:t>Financial &amp; Loan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1.  Digital-Lending Compliance &amp; Grievance Guide</w:t>
      </w:r>
    </w:p>
    <w:p>
      <w:pPr>
        <w:spacing w:after="120"/>
        <w:jc w:val="both"/>
      </w:pPr>
      <w:r>
        <w:rPr>
          <w:rFonts w:ascii="Calibri" w:hAnsi="Calibri"/>
          <w:b w:val="0"/>
          <w:i w:val="0"/>
          <w:color w:val="1B2A32"/>
          <w:sz w:val="21"/>
        </w:rPr>
        <w:t xml:space="preserve">The </w:t>
      </w:r>
      <w:r>
        <w:rPr>
          <w:rFonts w:ascii="Calibri" w:hAnsi="Calibri"/>
          <w:b/>
          <w:i w:val="0"/>
          <w:color w:val="1B2A32"/>
          <w:sz w:val="21"/>
        </w:rPr>
        <w:t>RBI (Digital Lending) Directions, 2025</w:t>
      </w:r>
      <w:r>
        <w:rPr>
          <w:rFonts w:ascii="Calibri" w:hAnsi="Calibri"/>
          <w:b w:val="0"/>
          <w:i w:val="0"/>
          <w:color w:val="1B2A32"/>
          <w:sz w:val="21"/>
        </w:rPr>
        <w:t xml:space="preserve">, issued on </w:t>
      </w:r>
      <w:r>
        <w:rPr>
          <w:rFonts w:ascii="Calibri" w:hAnsi="Calibri"/>
          <w:b/>
          <w:i w:val="0"/>
          <w:color w:val="1B2A32"/>
          <w:sz w:val="21"/>
        </w:rPr>
        <w:t>8 May 2025</w:t>
      </w:r>
      <w:r>
        <w:rPr>
          <w:rFonts w:ascii="Calibri" w:hAnsi="Calibri"/>
          <w:b w:val="0"/>
          <w:i w:val="0"/>
          <w:color w:val="1B2A32"/>
          <w:sz w:val="21"/>
        </w:rPr>
        <w:t>, consolidate every digital-lending circular since 2022 (including the FLDG norms and the LSP outsourcing rules) into a single rule-book. They apply to regulated entities (REs) and their lending service providers (LSPs) and digital lending apps (DLAs). The core borrower-protective features are:</w:t>
      </w:r>
    </w:p>
    <w:p>
      <w:pPr>
        <w:pStyle w:val="ListBullet"/>
        <w:spacing w:after="60"/>
        <w:jc w:val="both"/>
      </w:pPr>
      <w:r>
        <w:rPr>
          <w:rFonts w:ascii="Calibri" w:hAnsi="Calibri"/>
          <w:b/>
          <w:i w:val="0"/>
          <w:color w:val="1B2A32"/>
          <w:sz w:val="21"/>
        </w:rPr>
        <w:t>Key Fact Statement (KFS)</w:t>
      </w:r>
      <w:r>
        <w:rPr>
          <w:rFonts w:ascii="Calibri" w:hAnsi="Calibri"/>
          <w:b w:val="0"/>
          <w:i w:val="0"/>
          <w:color w:val="1B2A32"/>
          <w:sz w:val="21"/>
        </w:rPr>
        <w:t xml:space="preserve"> — a </w:t>
      </w:r>
      <w:r>
        <w:rPr>
          <w:rFonts w:ascii="Calibri" w:hAnsi="Calibri"/>
          <w:b/>
          <w:i w:val="0"/>
          <w:color w:val="1B2A32"/>
          <w:sz w:val="21"/>
        </w:rPr>
        <w:t>digitally signed</w:t>
      </w:r>
      <w:r>
        <w:rPr>
          <w:rFonts w:ascii="Calibri" w:hAnsi="Calibri"/>
          <w:b w:val="0"/>
          <w:i w:val="0"/>
          <w:color w:val="1B2A32"/>
          <w:sz w:val="21"/>
        </w:rPr>
        <w:t xml:space="preserve">, standardised, upfront disclosure of the </w:t>
      </w:r>
      <w:r>
        <w:rPr>
          <w:rFonts w:ascii="Calibri" w:hAnsi="Calibri"/>
          <w:b/>
          <w:i w:val="0"/>
          <w:color w:val="1B2A32"/>
          <w:sz w:val="21"/>
        </w:rPr>
        <w:t>Annual Percentage Rate (APR)</w:t>
      </w:r>
      <w:r>
        <w:rPr>
          <w:rFonts w:ascii="Calibri" w:hAnsi="Calibri"/>
          <w:b w:val="0"/>
          <w:i w:val="0"/>
          <w:color w:val="1B2A32"/>
          <w:sz w:val="21"/>
        </w:rPr>
        <w:t>, all fees, and the recovery mechanism, before the loan.</w:t>
      </w:r>
    </w:p>
    <w:p>
      <w:pPr>
        <w:pStyle w:val="ListBullet"/>
        <w:spacing w:after="60"/>
        <w:jc w:val="both"/>
      </w:pPr>
      <w:r>
        <w:rPr>
          <w:rFonts w:ascii="Calibri" w:hAnsi="Calibri"/>
          <w:b/>
          <w:i w:val="0"/>
          <w:color w:val="1B2A32"/>
          <w:sz w:val="21"/>
        </w:rPr>
        <w:t>Direct disbursal &amp; repayment</w:t>
      </w:r>
      <w:r>
        <w:rPr>
          <w:rFonts w:ascii="Calibri" w:hAnsi="Calibri"/>
          <w:b w:val="0"/>
          <w:i w:val="0"/>
          <w:color w:val="1B2A32"/>
          <w:sz w:val="21"/>
        </w:rPr>
        <w:t xml:space="preserve"> — money flows </w:t>
      </w:r>
      <w:r>
        <w:rPr>
          <w:rFonts w:ascii="Calibri" w:hAnsi="Calibri"/>
          <w:b/>
          <w:i w:val="0"/>
          <w:color w:val="1B2A32"/>
          <w:sz w:val="21"/>
        </w:rPr>
        <w:t>directly</w:t>
      </w:r>
      <w:r>
        <w:rPr>
          <w:rFonts w:ascii="Calibri" w:hAnsi="Calibri"/>
          <w:b w:val="0"/>
          <w:i w:val="0"/>
          <w:color w:val="1B2A32"/>
          <w:sz w:val="21"/>
        </w:rPr>
        <w:t xml:space="preserve"> between the borrower and the RE's account; no pass-through or pooling via the LSP.</w:t>
      </w:r>
    </w:p>
    <w:p>
      <w:pPr>
        <w:pStyle w:val="ListBullet"/>
        <w:spacing w:after="60"/>
        <w:jc w:val="both"/>
      </w:pPr>
      <w:r>
        <w:rPr>
          <w:rFonts w:ascii="Calibri" w:hAnsi="Calibri"/>
          <w:b/>
          <w:i w:val="0"/>
          <w:color w:val="1B2A32"/>
          <w:sz w:val="21"/>
        </w:rPr>
        <w:t>Cooling-off / look-up period</w:t>
      </w:r>
      <w:r>
        <w:rPr>
          <w:rFonts w:ascii="Calibri" w:hAnsi="Calibri"/>
          <w:b w:val="0"/>
          <w:i w:val="0"/>
          <w:color w:val="1B2A32"/>
          <w:sz w:val="21"/>
        </w:rPr>
        <w:t xml:space="preserve"> — at least </w:t>
      </w:r>
      <w:r>
        <w:rPr>
          <w:rFonts w:ascii="Calibri" w:hAnsi="Calibri"/>
          <w:b/>
          <w:i w:val="0"/>
          <w:color w:val="1B2A32"/>
          <w:sz w:val="21"/>
        </w:rPr>
        <w:t>one day for loans under seven days, and three days for longer tenors</w:t>
      </w:r>
      <w:r>
        <w:rPr>
          <w:rFonts w:ascii="Calibri" w:hAnsi="Calibri"/>
          <w:b w:val="0"/>
          <w:i w:val="0"/>
          <w:color w:val="1B2A32"/>
          <w:sz w:val="21"/>
        </w:rPr>
        <w:t>, during which the borrower may exit by paying only proportionate interest and a disclosed fee, penalty-free.</w:t>
      </w:r>
    </w:p>
    <w:p>
      <w:pPr>
        <w:pStyle w:val="ListBullet"/>
        <w:spacing w:after="60"/>
        <w:jc w:val="both"/>
      </w:pPr>
      <w:r>
        <w:rPr>
          <w:rFonts w:ascii="Calibri" w:hAnsi="Calibri"/>
          <w:b/>
          <w:i w:val="0"/>
          <w:color w:val="1B2A32"/>
          <w:sz w:val="21"/>
        </w:rPr>
        <w:t>No automatic increase in credit limit</w:t>
      </w:r>
      <w:r>
        <w:rPr>
          <w:rFonts w:ascii="Calibri" w:hAnsi="Calibri"/>
          <w:b w:val="0"/>
          <w:i w:val="0"/>
          <w:color w:val="1B2A32"/>
          <w:sz w:val="21"/>
        </w:rPr>
        <w:t xml:space="preserve"> without explicit consent; </w:t>
      </w:r>
      <w:r>
        <w:rPr>
          <w:rFonts w:ascii="Calibri" w:hAnsi="Calibri"/>
          <w:b/>
          <w:i w:val="0"/>
          <w:color w:val="1B2A32"/>
          <w:sz w:val="21"/>
        </w:rPr>
        <w:t>data minimisation</w:t>
      </w:r>
      <w:r>
        <w:rPr>
          <w:rFonts w:ascii="Calibri" w:hAnsi="Calibri"/>
          <w:b w:val="0"/>
          <w:i w:val="0"/>
          <w:color w:val="1B2A32"/>
          <w:sz w:val="21"/>
        </w:rPr>
        <w:t xml:space="preserve"> and need-based, consented data access only.</w:t>
      </w:r>
    </w:p>
    <w:p>
      <w:pPr>
        <w:pStyle w:val="ListBullet"/>
        <w:spacing w:after="60"/>
        <w:jc w:val="both"/>
      </w:pPr>
      <w:r>
        <w:rPr>
          <w:rFonts w:ascii="Calibri" w:hAnsi="Calibri"/>
          <w:b/>
          <w:i w:val="0"/>
          <w:color w:val="1B2A32"/>
          <w:sz w:val="21"/>
        </w:rPr>
        <w:t>Grievance officer</w:t>
      </w:r>
      <w:r>
        <w:rPr>
          <w:rFonts w:ascii="Calibri" w:hAnsi="Calibri"/>
          <w:b w:val="0"/>
          <w:i w:val="0"/>
          <w:color w:val="1B2A32"/>
          <w:sz w:val="21"/>
        </w:rPr>
        <w:t xml:space="preserve"> — a named officer for digital-lending complaints; unresolved complaints escalate to the </w:t>
      </w:r>
      <w:r>
        <w:rPr>
          <w:rFonts w:ascii="Calibri" w:hAnsi="Calibri"/>
          <w:b/>
          <w:i w:val="0"/>
          <w:color w:val="1B2A32"/>
          <w:sz w:val="21"/>
        </w:rPr>
        <w:t>RBI Ombudsman</w:t>
      </w:r>
      <w:r>
        <w:rPr>
          <w:rFonts w:ascii="Calibri" w:hAnsi="Calibri"/>
          <w:b w:val="0"/>
          <w:i w:val="0"/>
          <w:color w:val="1B2A32"/>
          <w:sz w:val="21"/>
        </w:rPr>
        <w:t>.</w:t>
      </w:r>
    </w:p>
    <w:p>
      <w:pPr>
        <w:pStyle w:val="ListBullet"/>
        <w:spacing w:after="60"/>
        <w:jc w:val="both"/>
      </w:pPr>
      <w:r>
        <w:rPr>
          <w:rFonts w:ascii="Calibri" w:hAnsi="Calibri"/>
          <w:b/>
          <w:i w:val="0"/>
          <w:color w:val="1B2A32"/>
          <w:sz w:val="21"/>
        </w:rPr>
        <w:t>Default Loss Guarantee (DLG/FLDG)</w:t>
      </w:r>
      <w:r>
        <w:rPr>
          <w:rFonts w:ascii="Calibri" w:hAnsi="Calibri"/>
          <w:b w:val="0"/>
          <w:i w:val="0"/>
          <w:color w:val="1B2A32"/>
          <w:sz w:val="21"/>
        </w:rPr>
        <w:t xml:space="preserve"> — capped at </w:t>
      </w:r>
      <w:r>
        <w:rPr>
          <w:rFonts w:ascii="Calibri" w:hAnsi="Calibri"/>
          <w:b/>
          <w:i w:val="0"/>
          <w:color w:val="1B2A32"/>
          <w:sz w:val="21"/>
        </w:rPr>
        <w:t>5% of the disbursed portfolio</w:t>
      </w:r>
      <w:r>
        <w:rPr>
          <w:rFonts w:ascii="Calibri" w:hAnsi="Calibri"/>
          <w:b w:val="0"/>
          <w:i w:val="0"/>
          <w:color w:val="1B2A32"/>
          <w:sz w:val="21"/>
        </w:rPr>
        <w:t>, in cash / lien-marked fixed deposit / bank guarantee, with disclosure.</w:t>
      </w:r>
    </w:p>
    <w:p>
      <w:pPr>
        <w:pStyle w:val="ListBullet"/>
        <w:spacing w:after="60"/>
        <w:jc w:val="both"/>
      </w:pPr>
      <w:r>
        <w:rPr>
          <w:rFonts w:ascii="Calibri" w:hAnsi="Calibri"/>
          <w:b/>
          <w:i w:val="0"/>
          <w:color w:val="1B2A32"/>
          <w:sz w:val="21"/>
        </w:rPr>
        <w:t>Directory of approved DLAs/LSPs</w:t>
      </w:r>
      <w:r>
        <w:rPr>
          <w:rFonts w:ascii="Calibri" w:hAnsi="Calibri"/>
          <w:b w:val="0"/>
          <w:i w:val="0"/>
          <w:color w:val="1B2A32"/>
          <w:sz w:val="21"/>
        </w:rPr>
        <w:t xml:space="preserve"> — the RE must publish its DLAs; borrowers can verify legitimacy.</w:t>
      </w: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Neutral's checklist for a digital-lending grievance</w:t>
            </w:r>
          </w:p>
          <w:p>
            <w:r>
              <w:rPr>
                <w:rFonts w:ascii="Calibri" w:hAnsi="Calibri"/>
                <w:b w:val="0"/>
                <w:i w:val="0"/>
                <w:color w:val="1B2A32"/>
                <w:sz w:val="19"/>
              </w:rPr>
              <w:t>Was a KFS given? Is the APR as disclosed? Were charges consented and disclosed? Was disbursal direct? Was data access need-based and consented? Is the counterparty the RE or only an LSP? Escalate breaches; mediate the money dispute in parallel.</w:t>
            </w:r>
          </w:p>
        </w:tc>
      </w:tr>
    </w:tbl>
    <w:p>
      <w:pPr>
        <w:spacing w:after="40"/>
      </w:pPr>
    </w:p>
    <w:p>
      <w:r>
        <w:br w:type="page"/>
      </w:r>
    </w:p>
    <w:p>
      <w:pPr>
        <w:keepNext/>
        <w:spacing w:before="280" w:after="120"/>
        <w:pBdr>
          <w:bottom w:val="single" w:sz="12" w:space="3" w:color="C6A15B"/>
        </w:pBdr>
      </w:pPr>
      <w:r>
        <w:rPr>
          <w:rFonts w:ascii="Calibri" w:hAnsi="Calibri"/>
          <w:b/>
          <w:i w:val="0"/>
          <w:color w:val="123B4F"/>
          <w:sz w:val="32"/>
        </w:rPr>
        <w:t>2.  Recovery-Agent Conduct &amp; Harassment Guide</w:t>
      </w:r>
    </w:p>
    <w:p>
      <w:pPr>
        <w:spacing w:after="120"/>
        <w:jc w:val="both"/>
      </w:pPr>
      <w:r>
        <w:rPr>
          <w:rFonts w:ascii="Calibri" w:hAnsi="Calibri"/>
          <w:b w:val="0"/>
          <w:i w:val="0"/>
          <w:color w:val="1B2A32"/>
          <w:sz w:val="21"/>
        </w:rPr>
        <w:t xml:space="preserve">Recovery must comply with the </w:t>
      </w:r>
      <w:r>
        <w:rPr>
          <w:rFonts w:ascii="Calibri" w:hAnsi="Calibri"/>
          <w:b/>
          <w:i w:val="0"/>
          <w:color w:val="1B2A32"/>
          <w:sz w:val="21"/>
        </w:rPr>
        <w:t>RBI Fair Practices Code</w:t>
      </w:r>
      <w:r>
        <w:rPr>
          <w:rFonts w:ascii="Calibri" w:hAnsi="Calibri"/>
          <w:b w:val="0"/>
          <w:i w:val="0"/>
          <w:color w:val="1B2A32"/>
          <w:sz w:val="21"/>
        </w:rPr>
        <w:t xml:space="preserve"> and the outsourcing directions. Abusive recovery is both a conduct breach and, potentially, an offence under the Bharatiya Nyaya Sanhita, 2023 (criminal intimidation, harassment).</w:t>
      </w:r>
    </w:p>
    <w:p>
      <w:pPr>
        <w:pStyle w:val="ListBullet"/>
        <w:spacing w:after="60"/>
        <w:jc w:val="both"/>
      </w:pPr>
      <w:r>
        <w:rPr>
          <w:rFonts w:ascii="Calibri" w:hAnsi="Calibri"/>
          <w:b/>
          <w:i w:val="0"/>
          <w:color w:val="1B2A32"/>
          <w:sz w:val="21"/>
        </w:rPr>
        <w:t>Permissible contact only</w:t>
      </w:r>
      <w:r>
        <w:rPr>
          <w:rFonts w:ascii="Calibri" w:hAnsi="Calibri"/>
          <w:b w:val="0"/>
          <w:i w:val="0"/>
          <w:color w:val="1B2A32"/>
          <w:sz w:val="21"/>
        </w:rPr>
        <w:t xml:space="preserve"> — no calls before 8 a.m. or after 7 p.m.; no calls at the workplace where prohibited; no contact with third parties except as permitted.</w:t>
      </w:r>
    </w:p>
    <w:p>
      <w:pPr>
        <w:pStyle w:val="ListBullet"/>
        <w:spacing w:after="60"/>
        <w:jc w:val="both"/>
      </w:pPr>
      <w:r>
        <w:rPr>
          <w:rFonts w:ascii="Calibri" w:hAnsi="Calibri"/>
          <w:b/>
          <w:i w:val="0"/>
          <w:color w:val="1B2A32"/>
          <w:sz w:val="21"/>
        </w:rPr>
        <w:t>No coercion, threats, obscene or abusive language, or public shaming</w:t>
      </w:r>
      <w:r>
        <w:rPr>
          <w:rFonts w:ascii="Calibri" w:hAnsi="Calibri"/>
          <w:b w:val="0"/>
          <w:i w:val="0"/>
          <w:color w:val="1B2A32"/>
          <w:sz w:val="21"/>
        </w:rPr>
        <w:t xml:space="preserve"> (including via social media or contact lists).</w:t>
      </w:r>
    </w:p>
    <w:p>
      <w:pPr>
        <w:pStyle w:val="ListBullet"/>
        <w:spacing w:after="60"/>
        <w:jc w:val="both"/>
      </w:pPr>
      <w:r>
        <w:rPr>
          <w:rFonts w:ascii="Calibri" w:hAnsi="Calibri"/>
          <w:b/>
          <w:i w:val="0"/>
          <w:color w:val="1B2A32"/>
          <w:sz w:val="21"/>
        </w:rPr>
        <w:t>Identification</w:t>
      </w:r>
      <w:r>
        <w:rPr>
          <w:rFonts w:ascii="Calibri" w:hAnsi="Calibri"/>
          <w:b w:val="0"/>
          <w:i w:val="0"/>
          <w:color w:val="1B2A32"/>
          <w:sz w:val="21"/>
        </w:rPr>
        <w:t xml:space="preserve"> — agents must be authorised and identifiable; the borrower may ask for authorisation.</w:t>
      </w:r>
    </w:p>
    <w:p>
      <w:pPr>
        <w:pStyle w:val="ListBullet"/>
        <w:spacing w:after="60"/>
        <w:jc w:val="both"/>
      </w:pPr>
      <w:r>
        <w:rPr>
          <w:rFonts w:ascii="Calibri" w:hAnsi="Calibri"/>
          <w:b/>
          <w:i w:val="0"/>
          <w:color w:val="1B2A32"/>
          <w:sz w:val="21"/>
        </w:rPr>
        <w:t>Grievance route</w:t>
      </w:r>
      <w:r>
        <w:rPr>
          <w:rFonts w:ascii="Calibri" w:hAnsi="Calibri"/>
          <w:b w:val="0"/>
          <w:i w:val="0"/>
          <w:color w:val="1B2A32"/>
          <w:sz w:val="21"/>
        </w:rPr>
        <w:t xml:space="preserve"> — complain to the lender's grievance officer; if unresolved in 30 days, escalate to the RBI Ombudsman.</w:t>
      </w:r>
    </w:p>
    <w:p>
      <w:pPr>
        <w:pStyle w:val="ListBullet"/>
        <w:spacing w:after="60"/>
        <w:jc w:val="both"/>
      </w:pPr>
      <w:r>
        <w:rPr>
          <w:rFonts w:ascii="Calibri" w:hAnsi="Calibri"/>
          <w:b/>
          <w:i w:val="0"/>
          <w:color w:val="1B2A32"/>
          <w:sz w:val="21"/>
        </w:rPr>
        <w:t>Evidence</w:t>
      </w:r>
      <w:r>
        <w:rPr>
          <w:rFonts w:ascii="Calibri" w:hAnsi="Calibri"/>
          <w:b w:val="0"/>
          <w:i w:val="0"/>
          <w:color w:val="1B2A32"/>
          <w:sz w:val="21"/>
        </w:rPr>
        <w:t xml:space="preserve"> — preserve call logs, recordings, messages and screenshots.</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Safety first</w:t>
            </w:r>
          </w:p>
          <w:p>
            <w:r>
              <w:rPr>
                <w:rFonts w:ascii="Calibri" w:hAnsi="Calibri"/>
                <w:b w:val="0"/>
                <w:i w:val="0"/>
                <w:color w:val="1B2A32"/>
                <w:sz w:val="19"/>
              </w:rPr>
              <w:t xml:space="preserve">If a borrower is threatened or in immediate danger, advise them to contact the </w:t>
            </w:r>
            <w:r>
              <w:rPr>
                <w:rFonts w:ascii="Calibri" w:hAnsi="Calibri"/>
                <w:b/>
                <w:i w:val="0"/>
                <w:color w:val="1B2A32"/>
                <w:sz w:val="19"/>
              </w:rPr>
              <w:t>police</w:t>
            </w:r>
            <w:r>
              <w:rPr>
                <w:rFonts w:ascii="Calibri" w:hAnsi="Calibri"/>
                <w:b w:val="0"/>
                <w:i w:val="0"/>
                <w:color w:val="1B2A32"/>
                <w:sz w:val="19"/>
              </w:rPr>
              <w:t>. Equator escalates the conduct AND mediates the underlying debt — but safety is never traded off against a settlement.</w:t>
            </w:r>
          </w:p>
        </w:tc>
      </w:tr>
    </w:tbl>
    <w:p>
      <w:pPr>
        <w:spacing w:after="40"/>
      </w:pPr>
    </w:p>
    <w:p>
      <w:r>
        <w:br w:type="page"/>
      </w:r>
    </w:p>
    <w:p>
      <w:pPr>
        <w:keepNext/>
        <w:spacing w:before="280" w:after="120"/>
        <w:pBdr>
          <w:bottom w:val="single" w:sz="12" w:space="3" w:color="C6A15B"/>
        </w:pBdr>
      </w:pPr>
      <w:r>
        <w:rPr>
          <w:rFonts w:ascii="Calibri" w:hAnsi="Calibri"/>
          <w:b/>
          <w:i w:val="0"/>
          <w:color w:val="123B4F"/>
          <w:sz w:val="32"/>
        </w:rPr>
        <w:t>3.  SARFAESI / DRT / IBC Boundary Guide</w:t>
      </w:r>
    </w:p>
    <w:p>
      <w:pPr>
        <w:spacing w:after="120"/>
        <w:jc w:val="both"/>
      </w:pPr>
      <w:r>
        <w:rPr>
          <w:rFonts w:ascii="Calibri" w:hAnsi="Calibri"/>
          <w:b w:val="0"/>
          <w:i w:val="0"/>
          <w:color w:val="1B2A32"/>
          <w:sz w:val="21"/>
        </w:rPr>
        <w:t xml:space="preserve">Some recovery is </w:t>
      </w:r>
      <w:r>
        <w:rPr>
          <w:rFonts w:ascii="Calibri" w:hAnsi="Calibri"/>
          <w:b/>
          <w:i w:val="0"/>
          <w:color w:val="1B2A32"/>
          <w:sz w:val="21"/>
        </w:rPr>
        <w:t>statutory and non-mediable</w:t>
      </w:r>
      <w:r>
        <w:rPr>
          <w:rFonts w:ascii="Calibri" w:hAnsi="Calibri"/>
          <w:b w:val="0"/>
          <w:i w:val="0"/>
          <w:color w:val="1B2A32"/>
          <w:sz w:val="21"/>
        </w:rPr>
        <w:t xml:space="preserve">. The neutral must recognise the boundary and, where the law permits, mediate a settlement </w:t>
      </w:r>
      <w:r>
        <w:rPr>
          <w:rFonts w:ascii="Calibri" w:hAnsi="Calibri"/>
          <w:b/>
          <w:i w:val="0"/>
          <w:color w:val="1B2A32"/>
          <w:sz w:val="21"/>
        </w:rPr>
        <w:t>around</w:t>
      </w:r>
      <w:r>
        <w:rPr>
          <w:rFonts w:ascii="Calibri" w:hAnsi="Calibri"/>
          <w:b w:val="0"/>
          <w:i w:val="0"/>
          <w:color w:val="1B2A32"/>
          <w:sz w:val="21"/>
        </w:rPr>
        <w:t xml:space="preserve"> it — without purporting to adjudicate or to stay statutory action.</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123B4F"/>
          </w:tcPr>
          <w:p>
            <w:r/>
            <w:r>
              <w:rPr>
                <w:rFonts w:ascii="Calibri" w:hAnsi="Calibri"/>
                <w:b/>
                <w:i w:val="0"/>
                <w:color w:val="FFFFFF"/>
                <w:sz w:val="17"/>
              </w:rPr>
              <w:t>Regime</w:t>
            </w:r>
          </w:p>
        </w:tc>
        <w:tc>
          <w:tcPr>
            <w:tcW w:type="dxa" w:w="4320"/>
            <w:shd w:val="clear" w:fill="123B4F"/>
          </w:tcPr>
          <w:p>
            <w:r/>
            <w:r>
              <w:rPr>
                <w:rFonts w:ascii="Calibri" w:hAnsi="Calibri"/>
                <w:b/>
                <w:i w:val="0"/>
                <w:color w:val="FFFFFF"/>
                <w:sz w:val="17"/>
              </w:rPr>
              <w:t>What it is</w:t>
            </w:r>
          </w:p>
        </w:tc>
        <w:tc>
          <w:tcPr>
            <w:tcW w:type="dxa" w:w="3312"/>
            <w:shd w:val="clear" w:fill="123B4F"/>
          </w:tcPr>
          <w:p>
            <w:r/>
            <w:r>
              <w:rPr>
                <w:rFonts w:ascii="Calibri" w:hAnsi="Calibri"/>
                <w:b/>
                <w:i w:val="0"/>
                <w:color w:val="FFFFFF"/>
                <w:sz w:val="17"/>
              </w:rPr>
              <w:t>Equator's role</w:t>
            </w:r>
          </w:p>
        </w:tc>
      </w:tr>
      <w:tr>
        <w:tc>
          <w:tcPr>
            <w:tcW w:type="dxa" w:w="2160"/>
          </w:tcPr>
          <w:p>
            <w:r/>
            <w:r>
              <w:rPr>
                <w:rFonts w:ascii="Calibri" w:hAnsi="Calibri"/>
                <w:b w:val="0"/>
                <w:i w:val="0"/>
                <w:color w:val="1B2A32"/>
                <w:sz w:val="17"/>
              </w:rPr>
              <w:t>SARFAESI, 2002</w:t>
            </w:r>
          </w:p>
        </w:tc>
        <w:tc>
          <w:tcPr>
            <w:tcW w:type="dxa" w:w="4320"/>
          </w:tcPr>
          <w:p>
            <w:r/>
            <w:r>
              <w:rPr>
                <w:rFonts w:ascii="Calibri" w:hAnsi="Calibri"/>
                <w:b w:val="0"/>
                <w:i w:val="0"/>
                <w:color w:val="1B2A32"/>
                <w:sz w:val="17"/>
              </w:rPr>
              <w:t>A secured creditor (bank/FI/ARC) enforces security without court — s.13(2) notice, then possession/sale.</w:t>
            </w:r>
          </w:p>
        </w:tc>
        <w:tc>
          <w:tcPr>
            <w:tcW w:type="dxa" w:w="3312"/>
          </w:tcPr>
          <w:p>
            <w:r/>
            <w:r>
              <w:rPr>
                <w:rFonts w:ascii="Calibri" w:hAnsi="Calibri"/>
                <w:b/>
                <w:i w:val="0"/>
                <w:color w:val="1B2A32"/>
                <w:sz w:val="17"/>
              </w:rPr>
              <w:t>Cannot</w:t>
            </w:r>
            <w:r>
              <w:rPr>
                <w:rFonts w:ascii="Calibri" w:hAnsi="Calibri"/>
                <w:b w:val="0"/>
                <w:i w:val="0"/>
                <w:color w:val="1B2A32"/>
                <w:sz w:val="17"/>
              </w:rPr>
              <w:t xml:space="preserve"> mediate the enforcement itself; </w:t>
            </w:r>
            <w:r>
              <w:rPr>
                <w:rFonts w:ascii="Calibri" w:hAnsi="Calibri"/>
                <w:b/>
                <w:i w:val="0"/>
                <w:color w:val="1B2A32"/>
                <w:sz w:val="17"/>
              </w:rPr>
              <w:t>can</w:t>
            </w:r>
            <w:r>
              <w:rPr>
                <w:rFonts w:ascii="Calibri" w:hAnsi="Calibri"/>
                <w:b w:val="0"/>
                <w:i w:val="0"/>
                <w:color w:val="1B2A32"/>
                <w:sz w:val="17"/>
              </w:rPr>
              <w:t xml:space="preserve"> mediate an OTS/repayment that the lender may accept to stop it.</w:t>
            </w:r>
          </w:p>
        </w:tc>
      </w:tr>
      <w:tr>
        <w:tc>
          <w:tcPr>
            <w:tcW w:type="dxa" w:w="2160"/>
            <w:shd w:val="clear" w:fill="F3F7F9"/>
          </w:tcPr>
          <w:p>
            <w:r/>
            <w:r>
              <w:rPr>
                <w:rFonts w:ascii="Calibri" w:hAnsi="Calibri"/>
                <w:b w:val="0"/>
                <w:i w:val="0"/>
                <w:color w:val="1B2A32"/>
                <w:sz w:val="17"/>
              </w:rPr>
              <w:t>DRT / RDDBFI, 1993</w:t>
            </w:r>
          </w:p>
        </w:tc>
        <w:tc>
          <w:tcPr>
            <w:tcW w:type="dxa" w:w="4320"/>
            <w:shd w:val="clear" w:fill="F3F7F9"/>
          </w:tcPr>
          <w:p>
            <w:r/>
            <w:r>
              <w:rPr>
                <w:rFonts w:ascii="Calibri" w:hAnsi="Calibri"/>
                <w:b w:val="0"/>
                <w:i w:val="0"/>
                <w:color w:val="1B2A32"/>
                <w:sz w:val="17"/>
              </w:rPr>
              <w:t>Adjudication &amp; recovery of bank/FI debts above the threshold before the Debts Recovery Tribunal (and DRAT).</w:t>
            </w:r>
          </w:p>
        </w:tc>
        <w:tc>
          <w:tcPr>
            <w:tcW w:type="dxa" w:w="3312"/>
            <w:shd w:val="clear" w:fill="F3F7F9"/>
          </w:tcPr>
          <w:p>
            <w:r/>
            <w:r>
              <w:rPr>
                <w:rFonts w:ascii="Calibri" w:hAnsi="Calibri"/>
                <w:b w:val="0"/>
                <w:i w:val="0"/>
                <w:color w:val="1B2A32"/>
                <w:sz w:val="17"/>
              </w:rPr>
              <w:t xml:space="preserve">Non-arbitrable/non-mediable adjudication; </w:t>
            </w:r>
            <w:r>
              <w:rPr>
                <w:rFonts w:ascii="Calibri" w:hAnsi="Calibri"/>
                <w:b/>
                <w:i w:val="0"/>
                <w:color w:val="1B2A32"/>
                <w:sz w:val="17"/>
              </w:rPr>
              <w:t>can</w:t>
            </w:r>
            <w:r>
              <w:rPr>
                <w:rFonts w:ascii="Calibri" w:hAnsi="Calibri"/>
                <w:b w:val="0"/>
                <w:i w:val="0"/>
                <w:color w:val="1B2A32"/>
                <w:sz w:val="17"/>
              </w:rPr>
              <w:t xml:space="preserve"> facilitate a consent settlement recorded by the DRT.</w:t>
            </w:r>
          </w:p>
        </w:tc>
      </w:tr>
      <w:tr>
        <w:tc>
          <w:tcPr>
            <w:tcW w:type="dxa" w:w="2160"/>
          </w:tcPr>
          <w:p>
            <w:r/>
            <w:r>
              <w:rPr>
                <w:rFonts w:ascii="Calibri" w:hAnsi="Calibri"/>
                <w:b w:val="0"/>
                <w:i w:val="0"/>
                <w:color w:val="1B2A32"/>
                <w:sz w:val="17"/>
              </w:rPr>
              <w:t>IBC, 2016</w:t>
            </w:r>
          </w:p>
        </w:tc>
        <w:tc>
          <w:tcPr>
            <w:tcW w:type="dxa" w:w="4320"/>
          </w:tcPr>
          <w:p>
            <w:r/>
            <w:r>
              <w:rPr>
                <w:rFonts w:ascii="Calibri" w:hAnsi="Calibri"/>
                <w:b w:val="0"/>
                <w:i w:val="0"/>
                <w:color w:val="1B2A32"/>
                <w:sz w:val="17"/>
              </w:rPr>
              <w:t xml:space="preserve">Insolvency resolution; a </w:t>
            </w:r>
            <w:r>
              <w:rPr>
                <w:rFonts w:ascii="Calibri" w:hAnsi="Calibri"/>
                <w:b/>
                <w:i w:val="0"/>
                <w:color w:val="1B2A32"/>
                <w:sz w:val="17"/>
              </w:rPr>
              <w:t>moratorium</w:t>
            </w:r>
            <w:r>
              <w:rPr>
                <w:rFonts w:ascii="Calibri" w:hAnsi="Calibri"/>
                <w:b w:val="0"/>
                <w:i w:val="0"/>
                <w:color w:val="1B2A32"/>
                <w:sz w:val="17"/>
              </w:rPr>
              <w:t xml:space="preserve"> (s.14) bars parallel action once admitted.</w:t>
            </w:r>
          </w:p>
        </w:tc>
        <w:tc>
          <w:tcPr>
            <w:tcW w:type="dxa" w:w="3312"/>
          </w:tcPr>
          <w:p>
            <w:r/>
            <w:r>
              <w:rPr>
                <w:rFonts w:ascii="Calibri" w:hAnsi="Calibri"/>
                <w:b w:val="0"/>
                <w:i w:val="0"/>
                <w:color w:val="1B2A32"/>
                <w:sz w:val="17"/>
              </w:rPr>
              <w:t>Respect the moratorium; a personal-guarantor or pre-admission settlement may still be possible — take advice.</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Golden rule</w:t>
            </w:r>
          </w:p>
          <w:p>
            <w:r>
              <w:rPr>
                <w:rFonts w:ascii="Calibri" w:hAnsi="Calibri"/>
                <w:b w:val="0"/>
                <w:i w:val="0"/>
                <w:color w:val="1B2A32"/>
                <w:sz w:val="19"/>
              </w:rPr>
              <w:t>Equator never adjudicates a secured-enforcement or DRT matter and never holds itself out as able to stay statutory action. It signposts the forum and, where lawful and the lender agrees, mediates the settlement that makes the statutory action unnecessary.</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Financial &amp; Loan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10946B-69DC-4CDB-86CE-CC7D1DE7AE07}"/>
</file>

<file path=customXml/itemProps3.xml><?xml version="1.0" encoding="utf-8"?>
<ds:datastoreItem xmlns:ds="http://schemas.openxmlformats.org/officeDocument/2006/customXml" ds:itemID="{375198E4-D67E-4247-AB88-C363AF118AF2}"/>
</file>

<file path=customXml/itemProps4.xml><?xml version="1.0" encoding="utf-8"?>
<ds:datastoreItem xmlns:ds="http://schemas.openxmlformats.org/officeDocument/2006/customXml" ds:itemID="{62E47C45-7B44-44FB-B34E-B90C4F15126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