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Calibri" w:hAnsi="Calibri"/>
          <w:b/>
          <w:i w:val="0"/>
          <w:color w:val="123B4F"/>
          <w:sz w:val="34"/>
        </w:rPr>
        <w:t>EQUATOR RESOLUTION</w:t>
      </w:r>
    </w:p>
    <w:p>
      <w:pPr>
        <w:spacing w:after="60"/>
        <w:jc w:val="center"/>
      </w:pPr>
      <w:r>
        <w:rPr>
          <w:rFonts w:ascii="Calibri" w:hAnsi="Calibri"/>
          <w:b w:val="0"/>
          <w:i/>
          <w:color w:val="1E7A8C"/>
          <w:sz w:val="21"/>
        </w:rPr>
        <w:t>Institutional Mediation, Conciliation &amp; Settlement</w:t>
      </w:r>
    </w:p>
    <w:p>
      <w:pPr>
        <w:pBdr>
          <w:top w:val="single" w:sz="14" w:space="6" w:color="C6A15B"/>
          <w:bottom w:val="single" w:sz="14" w:space="6" w:color="C6A15B"/>
        </w:pBdr>
      </w:pPr>
    </w:p>
    <w:p>
      <w:pPr>
        <w:spacing w:before="600"/>
        <w:jc w:val="center"/>
      </w:pPr>
      <w:r>
        <w:rPr>
          <w:rFonts w:ascii="Calibri" w:hAnsi="Calibri"/>
          <w:b/>
          <w:i w:val="0"/>
          <w:color w:val="123B4F"/>
          <w:sz w:val="48"/>
        </w:rPr>
        <w:t>Model Clause Library</w:t>
      </w:r>
    </w:p>
    <w:p>
      <w:pPr>
        <w:jc w:val="center"/>
      </w:pPr>
      <w:r>
        <w:rPr>
          <w:rFonts w:ascii="Calibri" w:hAnsi="Calibri"/>
          <w:b w:val="0"/>
          <w:i/>
          <w:color w:val="556168"/>
          <w:sz w:val="25"/>
        </w:rPr>
        <w:t>Ready-to-use ADR, OTS, escrow and settlement clauses for loan documentation</w:t>
      </w:r>
    </w:p>
    <w:p/>
    <w:p/>
    <w:p/>
    <w:p/>
    <w:p/>
    <w:p/>
    <w:p/>
    <w:p/>
    <w:p>
      <w:pPr>
        <w:jc w:val="center"/>
      </w:pPr>
      <w:r>
        <w:rPr>
          <w:rFonts w:ascii="Calibri" w:hAnsi="Calibri"/>
          <w:b/>
          <w:i w:val="0"/>
          <w:color w:val="1E7A8C"/>
          <w:sz w:val="22"/>
        </w:rPr>
        <w:t>Financial &amp; Loan Dispute Resolution vertical</w:t>
      </w:r>
    </w:p>
    <w:p>
      <w:pPr>
        <w:jc w:val="center"/>
      </w:pPr>
      <w:r>
        <w:rPr>
          <w:rFonts w:ascii="Calibri" w:hAnsi="Calibri"/>
          <w:b w:val="0"/>
          <w:i w:val="0"/>
          <w:color w:val="556168"/>
          <w:sz w:val="19"/>
        </w:rPr>
        <w:t>July 2026  ·  Draft for legal sign-off  ·  www.equatorresolution.com</w:t>
      </w:r>
    </w:p>
    <w:p>
      <w:r>
        <w:br w:type="page"/>
      </w:r>
    </w:p>
    <w:p>
      <w:pPr>
        <w:keepNext/>
        <w:spacing w:before="280" w:after="120"/>
        <w:pBdr>
          <w:bottom w:val="single" w:sz="12" w:space="3" w:color="C6A15B"/>
        </w:pBdr>
      </w:pPr>
      <w:r>
        <w:rPr>
          <w:rFonts w:ascii="Calibri" w:hAnsi="Calibri"/>
          <w:b/>
          <w:i w:val="0"/>
          <w:color w:val="123B4F"/>
          <w:sz w:val="32"/>
        </w:rPr>
        <w:t>How to use</w:t>
      </w:r>
    </w:p>
    <w:p>
      <w:pPr>
        <w:spacing w:after="120"/>
        <w:jc w:val="both"/>
      </w:pPr>
      <w:r>
        <w:rPr>
          <w:rFonts w:ascii="Calibri" w:hAnsi="Calibri"/>
          <w:b w:val="0"/>
          <w:i w:val="0"/>
          <w:color w:val="1B2A32"/>
          <w:sz w:val="21"/>
        </w:rPr>
        <w:t xml:space="preserve">These clauses are drafting </w:t>
      </w:r>
      <w:r>
        <w:rPr>
          <w:rFonts w:ascii="Calibri" w:hAnsi="Calibri"/>
          <w:b/>
          <w:i w:val="0"/>
          <w:color w:val="1B2A32"/>
          <w:sz w:val="21"/>
        </w:rPr>
        <w:t>starting points</w:t>
      </w:r>
      <w:r>
        <w:rPr>
          <w:rFonts w:ascii="Calibri" w:hAnsi="Calibri"/>
          <w:b w:val="0"/>
          <w:i w:val="0"/>
          <w:color w:val="1B2A32"/>
          <w:sz w:val="21"/>
        </w:rPr>
        <w:t xml:space="preserve"> for lenders and their counsel. Adapt to the facility and have counsel settle them. Using the Equator ADR clause in loan documentation routes future disputes to fast, escrow-secured, enforceable settlement.</w:t>
      </w:r>
    </w:p>
    <w:p>
      <w:pPr>
        <w:keepNext/>
        <w:spacing w:before="200" w:after="60"/>
      </w:pPr>
      <w:r>
        <w:rPr>
          <w:rFonts w:ascii="Calibri" w:hAnsi="Calibri"/>
          <w:b/>
          <w:i w:val="0"/>
          <w:color w:val="1E7A8C"/>
          <w:sz w:val="25"/>
        </w:rPr>
        <w:t>1. Loan-agreement ADR clause (mediation-first)</w:t>
      </w:r>
    </w:p>
    <w:tbl>
      <w:tblPr>
        <w:tblW w:type="auto" w:w="0"/>
        <w:jc w:val="center"/>
        <w:tblLook w:firstColumn="1" w:firstRow="1" w:lastColumn="0" w:lastRow="0" w:noHBand="0" w:noVBand="1" w:val="04A0"/>
      </w:tblPr>
      <w:tblGrid>
        <w:gridCol w:w="9504"/>
      </w:tblGrid>
      <w:tr>
        <w:tc>
          <w:tcPr>
            <w:tcW w:type="dxa" w:w="9360"/>
            <w:shd w:val="clear" w:fill="F5ECD6"/>
            <w:tcBorders>
              <w:start w:val="single" w:sz="22" w:space="0" w:color="C6A15B"/>
            </w:tcBorders>
          </w:tcPr>
          <w:p>
            <w:r>
              <w:rPr>
                <w:rFonts w:ascii="Calibri" w:hAnsi="Calibri"/>
                <w:b/>
                <w:i w:val="0"/>
                <w:color w:val="123B4F"/>
                <w:sz w:val="18"/>
              </w:rPr>
              <w:t>Clause</w:t>
            </w:r>
          </w:p>
          <w:p>
            <w:r>
              <w:rPr>
                <w:rFonts w:ascii="Calibri" w:hAnsi="Calibri"/>
                <w:b w:val="0"/>
                <w:i w:val="0"/>
                <w:color w:val="1B2A32"/>
                <w:sz w:val="19"/>
              </w:rPr>
              <w:t>"Any dispute, difference or claim arising out of or in connection with this facility, including as to the amount due, interest or charges, recovery, or credit reporting, shall first be referred to mediation/conciliation administered by Equator Resolution under its Rules of Loan &amp; Financial Dispute Resolution. This clause does not preclude either party from approaching the RBI Ombudsman or a Lok Adalat, and does not restrict a secured creditor's remedies under applicable law."</w:t>
            </w:r>
          </w:p>
        </w:tc>
      </w:tr>
    </w:tbl>
    <w:p>
      <w:pPr>
        <w:spacing w:after="40"/>
      </w:pPr>
    </w:p>
    <w:p>
      <w:pPr>
        <w:spacing w:after="80"/>
        <w:jc w:val="both"/>
      </w:pPr>
      <w:r>
        <w:rPr>
          <w:rFonts w:ascii="Calibri" w:hAnsi="Calibri"/>
          <w:b/>
          <w:i w:val="0"/>
          <w:color w:val="1B2A32"/>
          <w:sz w:val="21"/>
        </w:rPr>
        <w:t>Drafting note:</w:t>
      </w:r>
      <w:r>
        <w:rPr>
          <w:rFonts w:ascii="Calibri" w:hAnsi="Calibri"/>
          <w:b w:val="0"/>
          <w:i w:val="0"/>
          <w:color w:val="1B2A32"/>
          <w:sz w:val="21"/>
        </w:rPr>
        <w:t xml:space="preserve"> Preserves the lender's statutory enforcement rights while channelling money disputes to settlement.</w:t>
      </w:r>
    </w:p>
    <w:p>
      <w:pPr>
        <w:keepNext/>
        <w:spacing w:before="200" w:after="60"/>
      </w:pPr>
      <w:r>
        <w:rPr>
          <w:rFonts w:ascii="Calibri" w:hAnsi="Calibri"/>
          <w:b/>
          <w:i w:val="0"/>
          <w:color w:val="1E7A8C"/>
          <w:sz w:val="25"/>
        </w:rPr>
        <w:t>2. Med-arb / escalation clause</w:t>
      </w:r>
    </w:p>
    <w:tbl>
      <w:tblPr>
        <w:tblW w:type="auto" w:w="0"/>
        <w:jc w:val="center"/>
        <w:tblLook w:firstColumn="1" w:firstRow="1" w:lastColumn="0" w:lastRow="0" w:noHBand="0" w:noVBand="1" w:val="04A0"/>
      </w:tblPr>
      <w:tblGrid>
        <w:gridCol w:w="9504"/>
      </w:tblGrid>
      <w:tr>
        <w:tc>
          <w:tcPr>
            <w:tcW w:type="dxa" w:w="9360"/>
            <w:shd w:val="clear" w:fill="F5ECD6"/>
            <w:tcBorders>
              <w:start w:val="single" w:sz="22" w:space="0" w:color="C6A15B"/>
            </w:tcBorders>
          </w:tcPr>
          <w:p>
            <w:r>
              <w:rPr>
                <w:rFonts w:ascii="Calibri" w:hAnsi="Calibri"/>
                <w:b/>
                <w:i w:val="0"/>
                <w:color w:val="123B4F"/>
                <w:sz w:val="18"/>
              </w:rPr>
              <w:t>Clause</w:t>
            </w:r>
          </w:p>
          <w:p>
            <w:r>
              <w:rPr>
                <w:rFonts w:ascii="Calibri" w:hAnsi="Calibri"/>
                <w:b w:val="0"/>
                <w:i w:val="0"/>
                <w:color w:val="1B2A32"/>
                <w:sz w:val="19"/>
              </w:rPr>
              <w:t>"If the dispute is not resolved by mediation within 60 days, the parties may refer it to arbitration under the Equator arbitration rules / or to the appropriate forum, as applicable."</w:t>
            </w:r>
          </w:p>
        </w:tc>
      </w:tr>
    </w:tbl>
    <w:p>
      <w:pPr>
        <w:spacing w:after="40"/>
      </w:pPr>
    </w:p>
    <w:p>
      <w:pPr>
        <w:spacing w:after="80"/>
        <w:jc w:val="both"/>
      </w:pPr>
      <w:r>
        <w:rPr>
          <w:rFonts w:ascii="Calibri" w:hAnsi="Calibri"/>
          <w:b/>
          <w:i w:val="0"/>
          <w:color w:val="1B2A32"/>
          <w:sz w:val="21"/>
        </w:rPr>
        <w:t>Drafting note:</w:t>
      </w:r>
      <w:r>
        <w:rPr>
          <w:rFonts w:ascii="Calibri" w:hAnsi="Calibri"/>
          <w:b w:val="0"/>
          <w:i w:val="0"/>
          <w:color w:val="1B2A32"/>
          <w:sz w:val="21"/>
        </w:rPr>
        <w:t xml:space="preserve"> Use where the facility contemplates arbitration; ensure the dispute is arbitrable and enforcement rights are preserved.</w:t>
      </w:r>
    </w:p>
    <w:p>
      <w:pPr>
        <w:keepNext/>
        <w:spacing w:before="200" w:after="60"/>
      </w:pPr>
      <w:r>
        <w:rPr>
          <w:rFonts w:ascii="Calibri" w:hAnsi="Calibri"/>
          <w:b/>
          <w:i w:val="0"/>
          <w:color w:val="1E7A8C"/>
          <w:sz w:val="25"/>
        </w:rPr>
        <w:t>3. One-Time Settlement (OTS) recital</w:t>
      </w:r>
    </w:p>
    <w:tbl>
      <w:tblPr>
        <w:tblW w:type="auto" w:w="0"/>
        <w:jc w:val="center"/>
        <w:tblLook w:firstColumn="1" w:firstRow="1" w:lastColumn="0" w:lastRow="0" w:noHBand="0" w:noVBand="1" w:val="04A0"/>
      </w:tblPr>
      <w:tblGrid>
        <w:gridCol w:w="9504"/>
      </w:tblGrid>
      <w:tr>
        <w:tc>
          <w:tcPr>
            <w:tcW w:type="dxa" w:w="9360"/>
            <w:shd w:val="clear" w:fill="F5ECD6"/>
            <w:tcBorders>
              <w:start w:val="single" w:sz="22" w:space="0" w:color="C6A15B"/>
            </w:tcBorders>
          </w:tcPr>
          <w:p>
            <w:r>
              <w:rPr>
                <w:rFonts w:ascii="Calibri" w:hAnsi="Calibri"/>
                <w:b/>
                <w:i w:val="0"/>
                <w:color w:val="123B4F"/>
                <w:sz w:val="18"/>
              </w:rPr>
              <w:t>Clause</w:t>
            </w:r>
          </w:p>
          <w:p>
            <w:r>
              <w:rPr>
                <w:rFonts w:ascii="Calibri" w:hAnsi="Calibri"/>
                <w:b w:val="0"/>
                <w:i w:val="0"/>
                <w:color w:val="1B2A32"/>
                <w:sz w:val="19"/>
              </w:rPr>
              <w:t>"The parties agree that the outstanding dues of ₹[•] are fully and finally settled at ₹[•] (the Settlement Amount), payable as per the schedule in Annexure [•], in full and final satisfaction of all claims under the facility, subject to the Lender filing an accurate credit-bureau update and issuing a No-Dues/NOC on receipt."</w:t>
            </w:r>
          </w:p>
        </w:tc>
      </w:tr>
    </w:tbl>
    <w:p>
      <w:pPr>
        <w:spacing w:after="40"/>
      </w:pPr>
    </w:p>
    <w:p>
      <w:pPr>
        <w:spacing w:after="80"/>
        <w:jc w:val="both"/>
      </w:pPr>
      <w:r>
        <w:rPr>
          <w:rFonts w:ascii="Calibri" w:hAnsi="Calibri"/>
          <w:b/>
          <w:i w:val="0"/>
          <w:color w:val="1B2A32"/>
          <w:sz w:val="21"/>
        </w:rPr>
        <w:t>Drafting note:</w:t>
      </w:r>
      <w:r>
        <w:rPr>
          <w:rFonts w:ascii="Calibri" w:hAnsi="Calibri"/>
          <w:b w:val="0"/>
          <w:i w:val="0"/>
          <w:color w:val="1B2A32"/>
          <w:sz w:val="21"/>
        </w:rPr>
        <w:t xml:space="preserve"> Capture the waiver, the schedule, the escrow, the bureau status and the discharge of guarantors expressly.</w:t>
      </w:r>
    </w:p>
    <w:p>
      <w:pPr>
        <w:keepNext/>
        <w:spacing w:before="200" w:after="60"/>
      </w:pPr>
      <w:r>
        <w:rPr>
          <w:rFonts w:ascii="Calibri" w:hAnsi="Calibri"/>
          <w:b/>
          <w:i w:val="0"/>
          <w:color w:val="1E7A8C"/>
          <w:sz w:val="25"/>
        </w:rPr>
        <w:t>4. Escrow clause</w:t>
      </w:r>
    </w:p>
    <w:tbl>
      <w:tblPr>
        <w:tblW w:type="auto" w:w="0"/>
        <w:jc w:val="center"/>
        <w:tblLook w:firstColumn="1" w:firstRow="1" w:lastColumn="0" w:lastRow="0" w:noHBand="0" w:noVBand="1" w:val="04A0"/>
      </w:tblPr>
      <w:tblGrid>
        <w:gridCol w:w="9504"/>
      </w:tblGrid>
      <w:tr>
        <w:tc>
          <w:tcPr>
            <w:tcW w:type="dxa" w:w="9360"/>
            <w:shd w:val="clear" w:fill="F5ECD6"/>
            <w:tcBorders>
              <w:start w:val="single" w:sz="22" w:space="0" w:color="C6A15B"/>
            </w:tcBorders>
          </w:tcPr>
          <w:p>
            <w:r>
              <w:rPr>
                <w:rFonts w:ascii="Calibri" w:hAnsi="Calibri"/>
                <w:b/>
                <w:i w:val="0"/>
                <w:color w:val="123B4F"/>
                <w:sz w:val="18"/>
              </w:rPr>
              <w:t>Clause</w:t>
            </w:r>
          </w:p>
          <w:p>
            <w:r>
              <w:rPr>
                <w:rFonts w:ascii="Calibri" w:hAnsi="Calibri"/>
                <w:b w:val="0"/>
                <w:i w:val="0"/>
                <w:color w:val="1B2A32"/>
                <w:sz w:val="19"/>
              </w:rPr>
              <w:t>"The Settlement Amount shall be deposited into an escrow account maintained with [Escrow Bank] and released to the Lender against the milestones in the Escrow Instruction; the final release shall be conditional on the Lender's issuance of the No-Dues/NOC and filing of the credit-bureau update."</w:t>
            </w:r>
          </w:p>
        </w:tc>
      </w:tr>
    </w:tbl>
    <w:p>
      <w:pPr>
        <w:spacing w:after="40"/>
      </w:pPr>
    </w:p>
    <w:p>
      <w:pPr>
        <w:spacing w:after="80"/>
        <w:jc w:val="both"/>
      </w:pPr>
      <w:r>
        <w:rPr>
          <w:rFonts w:ascii="Calibri" w:hAnsi="Calibri"/>
          <w:b/>
          <w:i w:val="0"/>
          <w:color w:val="1B2A32"/>
          <w:sz w:val="21"/>
        </w:rPr>
        <w:t>Drafting note:</w:t>
      </w:r>
      <w:r>
        <w:rPr>
          <w:rFonts w:ascii="Calibri" w:hAnsi="Calibri"/>
          <w:b w:val="0"/>
          <w:i w:val="0"/>
          <w:color w:val="1B2A32"/>
          <w:sz w:val="21"/>
        </w:rPr>
        <w:t xml:space="preserve"> Aligns money movement to closure; use the Escrow Instruction (Form F-L11).</w:t>
      </w:r>
    </w:p>
    <w:p>
      <w:pPr>
        <w:keepNext/>
        <w:spacing w:before="200" w:after="60"/>
      </w:pPr>
      <w:r>
        <w:rPr>
          <w:rFonts w:ascii="Calibri" w:hAnsi="Calibri"/>
          <w:b/>
          <w:i w:val="0"/>
          <w:color w:val="1E7A8C"/>
          <w:sz w:val="25"/>
        </w:rPr>
        <w:t>5. No-Dues / NOC clause</w:t>
      </w:r>
    </w:p>
    <w:tbl>
      <w:tblPr>
        <w:tblW w:type="auto" w:w="0"/>
        <w:jc w:val="center"/>
        <w:tblLook w:firstColumn="1" w:firstRow="1" w:lastColumn="0" w:lastRow="0" w:noHBand="0" w:noVBand="1" w:val="04A0"/>
      </w:tblPr>
      <w:tblGrid>
        <w:gridCol w:w="9504"/>
      </w:tblGrid>
      <w:tr>
        <w:tc>
          <w:tcPr>
            <w:tcW w:type="dxa" w:w="9360"/>
            <w:shd w:val="clear" w:fill="F5ECD6"/>
            <w:tcBorders>
              <w:start w:val="single" w:sz="22" w:space="0" w:color="C6A15B"/>
            </w:tcBorders>
          </w:tcPr>
          <w:p>
            <w:r>
              <w:rPr>
                <w:rFonts w:ascii="Calibri" w:hAnsi="Calibri"/>
                <w:b/>
                <w:i w:val="0"/>
                <w:color w:val="123B4F"/>
                <w:sz w:val="18"/>
              </w:rPr>
              <w:t>Clause</w:t>
            </w:r>
          </w:p>
          <w:p>
            <w:r>
              <w:rPr>
                <w:rFonts w:ascii="Calibri" w:hAnsi="Calibri"/>
                <w:b w:val="0"/>
                <w:i w:val="0"/>
                <w:color w:val="1B2A32"/>
                <w:sz w:val="19"/>
              </w:rPr>
              <w:t>"Upon receipt of the Settlement Amount in full, the Lender shall within [15] days issue a No-Dues Certificate, release any security, return the original documents/vehicle/pledge, and update the credit information companies to reflect the account as settled/closed."</w:t>
            </w:r>
          </w:p>
        </w:tc>
      </w:tr>
    </w:tbl>
    <w:p>
      <w:pPr>
        <w:spacing w:after="40"/>
      </w:pPr>
    </w:p>
    <w:p>
      <w:pPr>
        <w:spacing w:after="80"/>
        <w:jc w:val="both"/>
      </w:pPr>
      <w:r>
        <w:rPr>
          <w:rFonts w:ascii="Calibri" w:hAnsi="Calibri"/>
          <w:b/>
          <w:i w:val="0"/>
          <w:color w:val="1B2A32"/>
          <w:sz w:val="21"/>
        </w:rPr>
        <w:t>Drafting note:</w:t>
      </w:r>
      <w:r>
        <w:rPr>
          <w:rFonts w:ascii="Calibri" w:hAnsi="Calibri"/>
          <w:b w:val="0"/>
          <w:i w:val="0"/>
          <w:color w:val="1B2A32"/>
          <w:sz w:val="21"/>
        </w:rPr>
        <w:t xml:space="preserve"> Ties the borrower's clean exit to defined lender obligations and timelines.</w:t>
      </w:r>
    </w:p>
    <w:p>
      <w:pPr>
        <w:keepNext/>
        <w:spacing w:before="200" w:after="60"/>
      </w:pPr>
      <w:r>
        <w:rPr>
          <w:rFonts w:ascii="Calibri" w:hAnsi="Calibri"/>
          <w:b/>
          <w:i w:val="0"/>
          <w:color w:val="1E7A8C"/>
          <w:sz w:val="25"/>
        </w:rPr>
        <w:t>6. Confidentiality clause</w:t>
      </w:r>
    </w:p>
    <w:tbl>
      <w:tblPr>
        <w:tblW w:type="auto" w:w="0"/>
        <w:jc w:val="center"/>
        <w:tblLook w:firstColumn="1" w:firstRow="1" w:lastColumn="0" w:lastRow="0" w:noHBand="0" w:noVBand="1" w:val="04A0"/>
      </w:tblPr>
      <w:tblGrid>
        <w:gridCol w:w="9504"/>
      </w:tblGrid>
      <w:tr>
        <w:tc>
          <w:tcPr>
            <w:tcW w:type="dxa" w:w="9360"/>
            <w:shd w:val="clear" w:fill="F5ECD6"/>
            <w:tcBorders>
              <w:start w:val="single" w:sz="22" w:space="0" w:color="C6A15B"/>
            </w:tcBorders>
          </w:tcPr>
          <w:p>
            <w:r>
              <w:rPr>
                <w:rFonts w:ascii="Calibri" w:hAnsi="Calibri"/>
                <w:b/>
                <w:i w:val="0"/>
                <w:color w:val="123B4F"/>
                <w:sz w:val="18"/>
              </w:rPr>
              <w:t>Clause</w:t>
            </w:r>
          </w:p>
          <w:p>
            <w:r>
              <w:rPr>
                <w:rFonts w:ascii="Calibri" w:hAnsi="Calibri"/>
                <w:b w:val="0"/>
                <w:i w:val="0"/>
                <w:color w:val="1B2A32"/>
                <w:sz w:val="19"/>
              </w:rPr>
              <w:t>"The mediation and all communications made for the purpose of settlement are confidential and without prejudice, and shall not be disclosed or relied upon in any proceeding, save the executed Settlement Agreement and as required by law."</w:t>
            </w:r>
          </w:p>
        </w:tc>
      </w:tr>
    </w:tbl>
    <w:p>
      <w:pPr>
        <w:spacing w:after="40"/>
      </w:pPr>
    </w:p>
    <w:p>
      <w:pPr>
        <w:spacing w:after="80"/>
        <w:jc w:val="both"/>
      </w:pPr>
      <w:r>
        <w:rPr>
          <w:rFonts w:ascii="Calibri" w:hAnsi="Calibri"/>
          <w:b/>
          <w:i w:val="0"/>
          <w:color w:val="1B2A32"/>
          <w:sz w:val="21"/>
        </w:rPr>
        <w:t>Drafting note:</w:t>
      </w:r>
      <w:r>
        <w:rPr>
          <w:rFonts w:ascii="Calibri" w:hAnsi="Calibri"/>
          <w:b w:val="0"/>
          <w:i w:val="0"/>
          <w:color w:val="1B2A32"/>
          <w:sz w:val="21"/>
        </w:rPr>
        <w:t xml:space="preserve"> Mirrors s.22 of the Mediation Act, 2023.</w:t>
      </w:r>
    </w:p>
    <w:p>
      <w:pPr>
        <w:keepNext/>
        <w:spacing w:before="200" w:after="60"/>
      </w:pPr>
      <w:r>
        <w:rPr>
          <w:rFonts w:ascii="Calibri" w:hAnsi="Calibri"/>
          <w:b/>
          <w:i w:val="0"/>
          <w:color w:val="1E7A8C"/>
          <w:sz w:val="25"/>
        </w:rPr>
        <w:t>7. Credit-reporting correction clause</w:t>
      </w:r>
    </w:p>
    <w:tbl>
      <w:tblPr>
        <w:tblW w:type="auto" w:w="0"/>
        <w:jc w:val="center"/>
        <w:tblLook w:firstColumn="1" w:firstRow="1" w:lastColumn="0" w:lastRow="0" w:noHBand="0" w:noVBand="1" w:val="04A0"/>
      </w:tblPr>
      <w:tblGrid>
        <w:gridCol w:w="9504"/>
      </w:tblGrid>
      <w:tr>
        <w:tc>
          <w:tcPr>
            <w:tcW w:type="dxa" w:w="9360"/>
            <w:shd w:val="clear" w:fill="F5ECD6"/>
            <w:tcBorders>
              <w:start w:val="single" w:sz="22" w:space="0" w:color="C6A15B"/>
            </w:tcBorders>
          </w:tcPr>
          <w:p>
            <w:r>
              <w:rPr>
                <w:rFonts w:ascii="Calibri" w:hAnsi="Calibri"/>
                <w:b/>
                <w:i w:val="0"/>
                <w:color w:val="123B4F"/>
                <w:sz w:val="18"/>
              </w:rPr>
              <w:t>Clause</w:t>
            </w:r>
          </w:p>
          <w:p>
            <w:r>
              <w:rPr>
                <w:rFonts w:ascii="Calibri" w:hAnsi="Calibri"/>
                <w:b w:val="0"/>
                <w:i w:val="0"/>
                <w:color w:val="1B2A32"/>
                <w:sz w:val="19"/>
              </w:rPr>
              <w:t>"The Lender shall report the account status accurately to all credit information companies within the prescribed cycle following settlement, and shall correct any prior mis-reporting attributable to the disputed account."</w:t>
            </w:r>
          </w:p>
        </w:tc>
      </w:tr>
    </w:tbl>
    <w:p>
      <w:pPr>
        <w:spacing w:after="40"/>
      </w:pPr>
    </w:p>
    <w:p>
      <w:pPr>
        <w:spacing w:after="80"/>
        <w:jc w:val="both"/>
      </w:pPr>
      <w:r>
        <w:rPr>
          <w:rFonts w:ascii="Calibri" w:hAnsi="Calibri"/>
          <w:b/>
          <w:i w:val="0"/>
          <w:color w:val="1B2A32"/>
          <w:sz w:val="21"/>
        </w:rPr>
        <w:t>Drafting note:</w:t>
      </w:r>
      <w:r>
        <w:rPr>
          <w:rFonts w:ascii="Calibri" w:hAnsi="Calibri"/>
          <w:b w:val="0"/>
          <w:i w:val="0"/>
          <w:color w:val="1B2A32"/>
          <w:sz w:val="21"/>
        </w:rPr>
        <w:t xml:space="preserve"> Makes the bureau cure an enforceable settlement term.</w:t>
      </w:r>
    </w:p>
    <w:tbl>
      <w:tblPr>
        <w:tblW w:type="auto" w:w="0"/>
        <w:jc w:val="center"/>
        <w:tblLook w:firstColumn="1" w:firstRow="1" w:lastColumn="0" w:lastRow="0" w:noHBand="0" w:noVBand="1" w:val="04A0"/>
      </w:tblPr>
      <w:tblGrid>
        <w:gridCol w:w="9504"/>
      </w:tblGrid>
      <w:tr>
        <w:tc>
          <w:tcPr>
            <w:tcW w:type="dxa" w:w="9360"/>
            <w:shd w:val="clear" w:fill="F6E0E4"/>
            <w:tcBorders>
              <w:start w:val="single" w:sz="22" w:space="0" w:color="B23A48"/>
            </w:tcBorders>
          </w:tcPr>
          <w:p>
            <w:r>
              <w:rPr>
                <w:rFonts w:ascii="Calibri" w:hAnsi="Calibri"/>
                <w:b/>
                <w:i w:val="0"/>
                <w:color w:val="B23A48"/>
                <w:sz w:val="18"/>
              </w:rPr>
              <w:t>Not legal advice</w:t>
            </w:r>
          </w:p>
          <w:p>
            <w:r>
              <w:rPr>
                <w:rFonts w:ascii="Calibri" w:hAnsi="Calibri"/>
                <w:b w:val="0"/>
                <w:i w:val="0"/>
                <w:color w:val="1B2A32"/>
                <w:sz w:val="19"/>
              </w:rPr>
              <w:t>These are templates only. Adapt to the facility and the current law, and have counsel settle them before use.</w:t>
            </w:r>
          </w:p>
        </w:tc>
      </w:tr>
    </w:tbl>
    <w:p>
      <w:pPr>
        <w:spacing w:after="40"/>
      </w:pPr>
    </w:p>
    <w:sectPr w:rsidR="00FC693F" w:rsidRPr="0006063C" w:rsidSect="00034616">
      <w:headerReference w:type="default" r:id="rId9"/>
      <w:footerReference w:type="default" r:id="rId10"/>
      <w:pgSz w:w="12240" w:h="15840"/>
      <w:pgMar w:top="1296" w:right="1368" w:bottom="1224"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b w:val="0"/>
        <w:i w:val="0"/>
        <w:color w:val="556168"/>
        <w:sz w:val="16"/>
      </w:rPr>
      <w:t xml:space="preserve">Equator Resolution · An Infrabyx Group venture · Confidential draft — not legal advice · Page </w:t>
    </w:r>
    <w:r>
      <w:rPr>
        <w:rFonts w:ascii="Calibri" w:hAnsi="Calibri"/>
        <w:color w:val="556168"/>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2" w:color="C6A15B"/>
      </w:pBdr>
    </w:pPr>
    <w:r/>
    <w:r>
      <w:rPr>
        <w:rFonts w:ascii="Calibri" w:hAnsi="Calibri"/>
        <w:b w:val="0"/>
        <w:i w:val="0"/>
        <w:color w:val="556168"/>
        <w:sz w:val="16"/>
      </w:rPr>
      <w:t>Equator Resolution — Financial &amp; Loan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1" w:lineRule="auto"/>
    </w:pPr>
    <w:rPr>
      <w:rFonts w:ascii="Calibri" w:hAnsi="Calibri"/>
      <w:color w:val="1B2A3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3.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53D5D88ED318E546B0BAD9611B3061C9" ma:contentTypeVersion="9" ma:contentTypeDescription="Create a new document." ma:contentTypeScope="" ma:versionID="d50db782a5ec69b02a0131a0f200a05c">
  <xsd:schema xmlns:xsd="http://www.w3.org/2001/XMLSchema" xmlns:xs="http://www.w3.org/2001/XMLSchema" xmlns:p="http://schemas.microsoft.com/office/2006/metadata/properties" xmlns:ns2="30dddea4-ca15-4972-99ca-320a89f10386" targetNamespace="http://schemas.microsoft.com/office/2006/metadata/properties" ma:root="true" ma:fieldsID="2e09d9990d161d2f2733b865e15bb167" ns2:_="">
    <xsd:import namespace="30dddea4-ca15-4972-99ca-320a89f1038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dddea4-ca15-4972-99ca-320a89f103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fieldId="{5cf76f15-5ced-4ddc-b409-7134ff3c332f}" ma:taxonomyMulti="true" ma:sspId="00000000-0000-0000-0000-000000000000" ma:termSetId="00000000-0000-0000-0000-000000000000" ma:anchorId="00000000-0000-0000-0000-000000000000" ma:open="fals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0dddea4-ca15-4972-99ca-320a89f1038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DC2C6EA2-C28A-4F06-BF0C-A5C21274D22B}"/>
</file>

<file path=customXml/itemProps3.xml><?xml version="1.0" encoding="utf-8"?>
<ds:datastoreItem xmlns:ds="http://schemas.openxmlformats.org/officeDocument/2006/customXml" ds:itemID="{724E330B-E409-4AFA-999C-B918FCB15369}"/>
</file>

<file path=customXml/itemProps4.xml><?xml version="1.0" encoding="utf-8"?>
<ds:datastoreItem xmlns:ds="http://schemas.openxmlformats.org/officeDocument/2006/customXml" ds:itemID="{DB37D915-86B0-4A90-ADE0-C7A93AE3E8A0}"/>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0x01010053D5D88ED318E546B0BAD9611B3061C9</vt:lpwstr>
  </property>
</Properties>
</file>