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Financial Sector Playbooks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Lender-type and product-type playbooks for neutrals and case managers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Financial &amp; Loan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How to use these playbooks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Each playbook summarises </w:t>
      </w:r>
      <w:r>
        <w:rPr>
          <w:rFonts w:ascii="Calibri" w:hAnsi="Calibri"/>
          <w:b/>
          <w:i w:val="0"/>
          <w:color w:val="1B2A32"/>
          <w:sz w:val="21"/>
        </w:rPr>
        <w:t>who the lender is</w:t>
      </w:r>
      <w:r>
        <w:rPr>
          <w:rFonts w:ascii="Calibri" w:hAnsi="Calibri"/>
          <w:b w:val="0"/>
          <w:i w:val="0"/>
          <w:color w:val="1B2A32"/>
          <w:sz w:val="21"/>
        </w:rPr>
        <w:t xml:space="preserve">, the </w:t>
      </w:r>
      <w:r>
        <w:rPr>
          <w:rFonts w:ascii="Calibri" w:hAnsi="Calibri"/>
          <w:b/>
          <w:i w:val="0"/>
          <w:color w:val="1B2A32"/>
          <w:sz w:val="21"/>
        </w:rPr>
        <w:t>rules that bind them</w:t>
      </w:r>
      <w:r>
        <w:rPr>
          <w:rFonts w:ascii="Calibri" w:hAnsi="Calibri"/>
          <w:b w:val="0"/>
          <w:i w:val="0"/>
          <w:color w:val="1B2A32"/>
          <w:sz w:val="21"/>
        </w:rPr>
        <w:t xml:space="preserve">, the </w:t>
      </w:r>
      <w:r>
        <w:rPr>
          <w:rFonts w:ascii="Calibri" w:hAnsi="Calibri"/>
          <w:b/>
          <w:i w:val="0"/>
          <w:color w:val="1B2A32"/>
          <w:sz w:val="21"/>
        </w:rPr>
        <w:t>typical disputes</w:t>
      </w:r>
      <w:r>
        <w:rPr>
          <w:rFonts w:ascii="Calibri" w:hAnsi="Calibri"/>
          <w:b w:val="0"/>
          <w:i w:val="0"/>
          <w:color w:val="1B2A32"/>
          <w:sz w:val="21"/>
        </w:rPr>
        <w:t xml:space="preserve">, the </w:t>
      </w:r>
      <w:r>
        <w:rPr>
          <w:rFonts w:ascii="Calibri" w:hAnsi="Calibri"/>
          <w:b/>
          <w:i w:val="0"/>
          <w:color w:val="1B2A32"/>
          <w:sz w:val="21"/>
        </w:rPr>
        <w:t>settlement levers</w:t>
      </w:r>
      <w:r>
        <w:rPr>
          <w:rFonts w:ascii="Calibri" w:hAnsi="Calibri"/>
          <w:b w:val="0"/>
          <w:i w:val="0"/>
          <w:color w:val="1B2A32"/>
          <w:sz w:val="21"/>
        </w:rPr>
        <w:t xml:space="preserve">, and the </w:t>
      </w:r>
      <w:r>
        <w:rPr>
          <w:rFonts w:ascii="Calibri" w:hAnsi="Calibri"/>
          <w:b/>
          <w:i w:val="0"/>
          <w:color w:val="1B2A32"/>
          <w:sz w:val="21"/>
        </w:rPr>
        <w:t>watch-points</w:t>
      </w:r>
      <w:r>
        <w:rPr>
          <w:rFonts w:ascii="Calibri" w:hAnsi="Calibri"/>
          <w:b w:val="0"/>
          <w:i w:val="0"/>
          <w:color w:val="1B2A32"/>
          <w:sz w:val="21"/>
        </w:rPr>
        <w:t xml:space="preserve"> for the neutral. They are practical aids, not a statement of law; confirm the current RBI directions and the lender's own board-approved policy in every case.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Part 1 — Lender-Type Playbooks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6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Lender type</w:t>
            </w:r>
          </w:p>
        </w:tc>
        <w:tc>
          <w:tcPr>
            <w:tcW w:type="dxa" w:w="19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Rules that bind them</w:t>
            </w:r>
          </w:p>
        </w:tc>
        <w:tc>
          <w:tcPr>
            <w:tcW w:type="dxa" w:w="18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Typical disputes</w:t>
            </w:r>
          </w:p>
        </w:tc>
        <w:tc>
          <w:tcPr>
            <w:tcW w:type="dxa" w:w="172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Settlement levers</w:t>
            </w:r>
          </w:p>
        </w:tc>
        <w:tc>
          <w:tcPr>
            <w:tcW w:type="dxa" w:w="19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Neutral's watch-points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Public-sector &amp; private banks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RBI Banking Regulation; Fair Practices Code; board-approved compromise-settlement policy (2023); BCSBI-style commitments.</w:t>
            </w:r>
          </w:p>
        </w:tc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Loan default &amp; OTS; foreclosure/penal charges; cheque dishonour; wrong charges; guarantee calls.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Full board-approved OTS matrix; interest/penal waiver; restructuring; No-Dues/NOC; accurate bureau update.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Delegated settlement authority must be present; large exposures may need committee approval; watch NPA/provisioning framing.</w:t>
            </w:r>
          </w:p>
        </w:tc>
      </w:tr>
      <w:tr>
        <w:tc>
          <w:tcPr>
            <w:tcW w:type="dxa" w:w="16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NBFCs (incl. HFCs)</w:t>
            </w:r>
          </w:p>
        </w:tc>
        <w:tc>
          <w:tcPr>
            <w:tcW w:type="dxa" w:w="19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RBI Scale-Based Regulation; NBFC Fair Practices Code; RBI compromise-settlement 2023; NHB norms for HFCs.</w:t>
            </w:r>
          </w:p>
        </w:tc>
        <w:tc>
          <w:tcPr>
            <w:tcW w:type="dxa" w:w="1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Vehicle/personal/home-loan default; repossession disputes; penal charges; co-borrower issues.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OTS; re-aging/restructuring; return of security on settlement; waiver of penal charges; NOC.</w:t>
            </w:r>
          </w:p>
        </w:tc>
        <w:tc>
          <w:tcPr>
            <w:tcW w:type="dxa" w:w="19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Repossession must follow FPC &amp; contract; confirm the NBFC's settlement policy; vehicle-loan repossession is a frequent flashpoint.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Microfinance (MFI / NBFC-MFI)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RBI Microfinance Directions 2022 (household-income &amp; FOIR limits, no coercive recovery, pricing cap disclosure).</w:t>
            </w:r>
          </w:p>
        </w:tc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Over-indebtedness; coercive group recovery; multiple lending; small-ticket default.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Affordable instalments; hardship waiver; consolidation; harassment escalation.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Highly vulnerable borrowers — no coercion, allow advice; check the household-income &amp; indebtedness limits.</w:t>
            </w:r>
          </w:p>
        </w:tc>
      </w:tr>
      <w:tr>
        <w:tc>
          <w:tcPr>
            <w:tcW w:type="dxa" w:w="16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Fintech lenders &amp; LSPs / DLAs</w:t>
            </w:r>
          </w:p>
        </w:tc>
        <w:tc>
          <w:tcPr>
            <w:tcW w:type="dxa" w:w="19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RBI Digital Lending Directions 2025 (KFS, APR, cooling-off, direct disbursal, FLDG, grievance officer, data norms).</w:t>
            </w:r>
          </w:p>
        </w:tc>
        <w:tc>
          <w:tcPr>
            <w:tcW w:type="dxa" w:w="1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Hidden charges; no/incorrect KFS; harassment; data-privacy abuse; unauthorised app conduct.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Refund of non-disclosed charges; correction; harassment escalation; settlement of principal.</w:t>
            </w:r>
          </w:p>
        </w:tc>
        <w:tc>
          <w:tcPr>
            <w:tcW w:type="dxa" w:w="19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Verify the KFS, APR and cooling-off; identify whether the counterparty is the lender or only an LSP; data-privacy breaches escalate.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Gold-loan NBFCs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RBI gold-loan norms (LTV, auction process, notice); Fair Practices Code.</w:t>
            </w:r>
          </w:p>
        </w:tc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Auction of pledged gold; valuation &amp; surplus disputes; interest accrual.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Redemption on settlement; surplus refund; interest/penal waiver; auction-process review.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Auction must follow notice &amp; process; surplus belongs to the borrower; check valuation.</w:t>
            </w:r>
          </w:p>
        </w:tc>
      </w:tr>
      <w:tr>
        <w:tc>
          <w:tcPr>
            <w:tcW w:type="dxa" w:w="16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Credit-card issuers &amp; BNPL</w:t>
            </w:r>
          </w:p>
        </w:tc>
        <w:tc>
          <w:tcPr>
            <w:tcW w:type="dxa" w:w="19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RBI Credit Card &amp; Debit Card Directions 2022; Digital Lending Directions (for BNPL as credit).</w:t>
            </w:r>
          </w:p>
        </w:tc>
        <w:tc>
          <w:tcPr>
            <w:tcW w:type="dxa" w:w="1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Interest/late-fee stacking; disputed transactions; card-closure &amp; bureau reporting; BNPL mis-selling.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Waiver of stacked charges; settlement of principal; chargeback/dispute resolution; bureau correction.</w:t>
            </w:r>
          </w:p>
        </w:tc>
        <w:tc>
          <w:tcPr>
            <w:tcW w:type="dxa" w:w="19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Distinguish disputed transaction (chargeback) from default; watch revolving-interest computation.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Asset Reconstruction Companies (ARCs) &amp; assigned debt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SARFAESI (ARC framework); assignment law; RBI ARC directions.</w:t>
            </w:r>
          </w:p>
        </w:tc>
        <w:tc>
          <w:tcPr>
            <w:tcW w:type="dxa" w:w="1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Post-assignment recovery; OTS on acquired portfolios; validity of assignment.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OTS on the acquired debt; settlement of the acquisition value; NOC from the ARC.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Confirm the assignment and the ARC's authority to settle; SARFAESI enforcement remains non-mediable.</w:t>
            </w:r>
          </w:p>
        </w:tc>
      </w:tr>
      <w:tr>
        <w:tc>
          <w:tcPr>
            <w:tcW w:type="dxa" w:w="16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P2P lending platforms</w:t>
            </w:r>
          </w:p>
        </w:tc>
        <w:tc>
          <w:tcPr>
            <w:tcW w:type="dxa" w:w="19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RBI NBFC-P2P Directions 2017 (platform is an intermediary; exposure caps).</w:t>
            </w:r>
          </w:p>
        </w:tc>
        <w:tc>
          <w:tcPr>
            <w:tcW w:type="dxa" w:w="1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Default to individual lenders; platform conduct; recovery.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Settlement with the platform coordinating lenders; instalments; part-recovery.</w:t>
            </w:r>
          </w:p>
        </w:tc>
        <w:tc>
          <w:tcPr>
            <w:tcW w:type="dxa" w:w="19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platform is an intermediary, not the lender — identify the actual lenders; caps and disclosures apply.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Part 2 — Product-Type Playbooks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Product</w:t>
            </w:r>
          </w:p>
        </w:tc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Key feature</w:t>
            </w:r>
          </w:p>
        </w:tc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Typical settlement levers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Personal / consumption loan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Unsecured; high penal stacking on default.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OTS with penal waiver; affordable instalments.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Vehicle loan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Secured by hypothecation; repossession risk.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Return of vehicle on settlement; cure of arrears; FPC-compliant repossession review.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Home loan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Secured by mortgage; SARFAESI-eligible.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OTS/restructuring around any SARFAESI action; foreclosure-charge review; long-tenor reschedule.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Gold loan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Secured by pledge; auction on default.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Redemption on settlement; surplus refund; auction-process check.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Education loan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Often with moratorium &amp; co-borrower.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Moratorium/relief; restructuring; co-borrower protection.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MSME / business loan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May attract MSME protections.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OTS; restructuring; where eligible, MSME Samadhaan for the MSME's own dues.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Credit card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Revolving; interest/fee stacking.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Waiver of stacked charges; conversion to EMI; principal settlement.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BNPL / microfinance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Small-ticket; conduct-sensitive.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Consolidation; hardship instalments; harassment escalation.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Cross-cutting principle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Whatever the product, the neutral verifies the dues from the statement of account, keeps the settlement within the lender's board-approved policy, secures the money in escrow, and ensures the credit bureau is corrected on closure.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Financial &amp; Loan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8F2E5E-15B9-44A2-A97E-5B0BD40AA8B4}"/>
</file>

<file path=customXml/itemProps3.xml><?xml version="1.0" encoding="utf-8"?>
<ds:datastoreItem xmlns:ds="http://schemas.openxmlformats.org/officeDocument/2006/customXml" ds:itemID="{E0D43C23-F421-4790-A3AB-BB6887FB6AD2}"/>
</file>

<file path=customXml/itemProps4.xml><?xml version="1.0" encoding="utf-8"?>
<ds:datastoreItem xmlns:ds="http://schemas.openxmlformats.org/officeDocument/2006/customXml" ds:itemID="{EB1D229C-DA95-4BDB-992B-C138A284B6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