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Forum Interface Map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Where each financial dispute goes — and how Equator fits alongside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map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71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10_forum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7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Figure — Equator triage routes each dispute to the right forum, and can mediate a settlement in parallel.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map shows where each type of financial dispute properly belongs, and where Equator's neutral mediation and settlement adds value — often </w:t>
      </w:r>
      <w:r>
        <w:rPr>
          <w:rFonts w:ascii="Calibri" w:hAnsi="Calibri"/>
          <w:b/>
          <w:i w:val="0"/>
          <w:color w:val="1B2A32"/>
          <w:sz w:val="21"/>
        </w:rPr>
        <w:t>in parallel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a statutory forum.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Forum-by-forum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Forum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When it applies</w:t>
            </w:r>
          </w:p>
        </w:tc>
        <w:tc>
          <w:tcPr>
            <w:tcW w:type="dxa" w:w="331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Equator's interface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Equator mediation / conciliation &amp; OTS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Default, charges, restructuring, OTS, most borrower–lender money disputes.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Primary route; escrow-secured; enforceable settlement.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NI-138 settlement + compounding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dishonoured cheque for a debt.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Mediate + compound (s.147); or record in Lok Adalat.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RBI Integrated Ombudsman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service complaint against a bank/NBFC/PSO unresolved by the lender in 30 days.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Free, borrower-only escalation; Equator mediates money in parallel.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DRT / SARFAESI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Bank/FI enforcement of security or recovery above the threshold.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Statutory, non-mediable; Equator mediates an OTS around it.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Consumer Commission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Deficiency of service or unfair trade practice (mis-selling, wrong charges).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Consumer remedy; settlement can resolve it faster.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Lok Adalat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Any settlement the parties want recorded as a final decree.</w:t>
            </w:r>
          </w:p>
        </w:tc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Award = civil-court decree, non-appealable.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MSME Samadhaan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An MSME's own delayed-payment claim (as supplier).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 MSME borrowers who are also aggrieved suppliers; separate from their loan.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One front door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borrower or lender does not need to know which forum fits — Equator's triage (and the AI Dispute Explorer) routes the matter and, wherever lawful, offers a mediated settlement alongside.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EE907F-E5F1-4FAB-90BD-2024D2833EEF}"/>
</file>

<file path=customXml/itemProps3.xml><?xml version="1.0" encoding="utf-8"?>
<ds:datastoreItem xmlns:ds="http://schemas.openxmlformats.org/officeDocument/2006/customXml" ds:itemID="{8BAEF436-6D96-45BF-B42D-390473F36F6C}"/>
</file>

<file path=customXml/itemProps4.xml><?xml version="1.0" encoding="utf-8"?>
<ds:datastoreItem xmlns:ds="http://schemas.openxmlformats.org/officeDocument/2006/customXml" ds:itemID="{32FD7CCF-2F26-4976-935B-66CFC2AE80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