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23B4F"/>
          <w:sz w:val="34"/>
        </w:rPr>
        <w:t>EQUATOR RESOLUTION</w:t>
      </w:r>
    </w:p>
    <w:p>
      <w:pPr>
        <w:spacing w:after="60"/>
        <w:jc w:val="center"/>
      </w:pPr>
      <w:r>
        <w:rPr>
          <w:rFonts w:ascii="Calibri" w:hAnsi="Calibri"/>
          <w:b w:val="0"/>
          <w:i/>
          <w:color w:val="1E7A8C"/>
          <w:sz w:val="21"/>
        </w:rPr>
        <w:t>Institutional Mediation, Conciliation &amp; Settlement</w:t>
      </w:r>
    </w:p>
    <w:p>
      <w:pPr>
        <w:pBdr>
          <w:top w:val="single" w:sz="14" w:space="6" w:color="C6A15B"/>
          <w:bottom w:val="single" w:sz="14" w:space="6" w:color="C6A15B"/>
        </w:pBdr>
      </w:pPr>
    </w:p>
    <w:p>
      <w:pPr>
        <w:spacing w:before="600"/>
        <w:jc w:val="center"/>
      </w:pPr>
      <w:r>
        <w:rPr>
          <w:rFonts w:ascii="Calibri" w:hAnsi="Calibri"/>
          <w:b/>
          <w:i w:val="0"/>
          <w:color w:val="123B4F"/>
          <w:sz w:val="48"/>
        </w:rPr>
        <w:t>OTS &amp; Cheque-Bounce Practitioner Guides</w:t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25"/>
        </w:rPr>
        <w:t>Deep-dive guidance on one-time settlements and Section 138 matters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E7A8C"/>
          <w:sz w:val="22"/>
        </w:rPr>
        <w:t>Financial &amp; Loan Dispute Resolution vertical</w:t>
      </w:r>
    </w:p>
    <w:p>
      <w:pPr>
        <w:jc w:val="center"/>
      </w:pPr>
      <w:r>
        <w:rPr>
          <w:rFonts w:ascii="Calibri" w:hAnsi="Calibri"/>
          <w:b w:val="0"/>
          <w:i w:val="0"/>
          <w:color w:val="556168"/>
          <w:sz w:val="19"/>
        </w:rPr>
        <w:t>July 2026  ·  Draft for legal sign-off  ·  www.equatorresolution.com</w:t>
      </w:r>
    </w:p>
    <w:p>
      <w:r>
        <w:br w:type="page"/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1.  One-Time Settlement (OTS) — Practitioner Guide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1.1  What an OTS is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A one-time (compromise) settlement is a negotiated, final resolution of a debt for less than the full contractual dues, in exchange for closing the account. Lenders settle under a </w:t>
      </w:r>
      <w:r>
        <w:rPr>
          <w:rFonts w:ascii="Calibri" w:hAnsi="Calibri"/>
          <w:b/>
          <w:i w:val="0"/>
          <w:color w:val="1B2A32"/>
          <w:sz w:val="21"/>
        </w:rPr>
        <w:t>board-approved compromise-settlement policy</w:t>
      </w:r>
      <w:r>
        <w:rPr>
          <w:rFonts w:ascii="Calibri" w:hAnsi="Calibri"/>
          <w:b w:val="0"/>
          <w:i w:val="0"/>
          <w:color w:val="1B2A32"/>
          <w:sz w:val="21"/>
        </w:rPr>
        <w:t xml:space="preserve">, which the </w:t>
      </w:r>
      <w:r>
        <w:rPr>
          <w:rFonts w:ascii="Calibri" w:hAnsi="Calibri"/>
          <w:b/>
          <w:i w:val="0"/>
          <w:color w:val="1B2A32"/>
          <w:sz w:val="21"/>
        </w:rPr>
        <w:t>RBI ‘Framework for Compromise Settlements and Technical Write-offs’ (circular RBI/2023-24/40, dated 8 June 2023)</w:t>
      </w:r>
      <w:r>
        <w:rPr>
          <w:rFonts w:ascii="Calibri" w:hAnsi="Calibri"/>
          <w:b w:val="0"/>
          <w:i w:val="0"/>
          <w:color w:val="1B2A32"/>
          <w:sz w:val="21"/>
        </w:rPr>
        <w:t xml:space="preserve"> expressly permits for all regulated lenders — including, without prejudice to any criminal proceeding, accounts classified as fraud or wilful default — subject to board oversight and a </w:t>
      </w:r>
      <w:r>
        <w:rPr>
          <w:rFonts w:ascii="Calibri" w:hAnsi="Calibri"/>
          <w:b/>
          <w:i w:val="0"/>
          <w:color w:val="1B2A32"/>
          <w:sz w:val="21"/>
        </w:rPr>
        <w:t>cooling period (a floor of 12 months</w:t>
      </w:r>
      <w:r>
        <w:rPr>
          <w:rFonts w:ascii="Calibri" w:hAnsi="Calibri"/>
          <w:b w:val="0"/>
          <w:i w:val="0"/>
          <w:color w:val="1B2A32"/>
          <w:sz w:val="21"/>
        </w:rPr>
        <w:t xml:space="preserve"> for non-farm exposures) before fresh exposure. Always confirm the current circular and the lender's own policy.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1.2  Building the number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Start from the </w:t>
      </w:r>
      <w:r>
        <w:rPr>
          <w:rFonts w:ascii="Calibri" w:hAnsi="Calibri"/>
          <w:b/>
          <w:i w:val="0"/>
          <w:color w:val="1B2A32"/>
          <w:sz w:val="21"/>
        </w:rPr>
        <w:t>statement of account</w:t>
      </w:r>
      <w:r>
        <w:rPr>
          <w:rFonts w:ascii="Calibri" w:hAnsi="Calibri"/>
          <w:b w:val="0"/>
          <w:i w:val="0"/>
          <w:color w:val="1B2A32"/>
          <w:sz w:val="21"/>
        </w:rPr>
        <w:t xml:space="preserve">: segregate </w:t>
      </w:r>
      <w:r>
        <w:rPr>
          <w:rFonts w:ascii="Calibri" w:hAnsi="Calibri"/>
          <w:b/>
          <w:i w:val="0"/>
          <w:color w:val="1B2A32"/>
          <w:sz w:val="21"/>
        </w:rPr>
        <w:t>principal</w:t>
      </w:r>
      <w:r>
        <w:rPr>
          <w:rFonts w:ascii="Calibri" w:hAnsi="Calibri"/>
          <w:b w:val="0"/>
          <w:i w:val="0"/>
          <w:color w:val="1B2A32"/>
          <w:sz w:val="21"/>
        </w:rPr>
        <w:t xml:space="preserve">, </w:t>
      </w:r>
      <w:r>
        <w:rPr>
          <w:rFonts w:ascii="Calibri" w:hAnsi="Calibri"/>
          <w:b/>
          <w:i w:val="0"/>
          <w:color w:val="1B2A32"/>
          <w:sz w:val="21"/>
        </w:rPr>
        <w:t>accrued interest</w:t>
      </w:r>
      <w:r>
        <w:rPr>
          <w:rFonts w:ascii="Calibri" w:hAnsi="Calibri"/>
          <w:b w:val="0"/>
          <w:i w:val="0"/>
          <w:color w:val="1B2A32"/>
          <w:sz w:val="21"/>
        </w:rPr>
        <w:t xml:space="preserve"> and </w:t>
      </w:r>
      <w:r>
        <w:rPr>
          <w:rFonts w:ascii="Calibri" w:hAnsi="Calibri"/>
          <w:b/>
          <w:i w:val="0"/>
          <w:color w:val="1B2A32"/>
          <w:sz w:val="21"/>
        </w:rPr>
        <w:t>penal/other charges</w:t>
      </w:r>
      <w:r>
        <w:rPr>
          <w:rFonts w:ascii="Calibri" w:hAnsi="Calibri"/>
          <w:b w:val="0"/>
          <w:i w:val="0"/>
          <w:color w:val="1B2A32"/>
          <w:sz w:val="21"/>
        </w:rPr>
        <w:t xml:space="preserve">. The typical settlement recovers the principal plus a negotiated part of the interest, with penal charges substantially or fully waived. Frame the range from a </w:t>
      </w:r>
      <w:r>
        <w:rPr>
          <w:rFonts w:ascii="Calibri" w:hAnsi="Calibri"/>
          <w:b/>
          <w:i w:val="0"/>
          <w:color w:val="1B2A32"/>
          <w:sz w:val="21"/>
        </w:rPr>
        <w:t>LOW</w:t>
      </w:r>
      <w:r>
        <w:rPr>
          <w:rFonts w:ascii="Calibri" w:hAnsi="Calibri"/>
          <w:b w:val="0"/>
          <w:i w:val="0"/>
          <w:color w:val="1B2A32"/>
          <w:sz w:val="21"/>
        </w:rPr>
        <w:t xml:space="preserve"> (principal only) to a </w:t>
      </w:r>
      <w:r>
        <w:rPr>
          <w:rFonts w:ascii="Calibri" w:hAnsi="Calibri"/>
          <w:b/>
          <w:i w:val="0"/>
          <w:color w:val="1B2A32"/>
          <w:sz w:val="21"/>
        </w:rPr>
        <w:t>HIGH</w:t>
      </w:r>
      <w:r>
        <w:rPr>
          <w:rFonts w:ascii="Calibri" w:hAnsi="Calibri"/>
          <w:b w:val="0"/>
          <w:i w:val="0"/>
          <w:color w:val="1B2A32"/>
          <w:sz w:val="21"/>
        </w:rPr>
        <w:t xml:space="preserve"> (dues after reasonable waivers). The Institution's OTS Estimator computes this transparently.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2592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Illustration (₹)</w:t>
            </w:r>
          </w:p>
        </w:tc>
        <w:tc>
          <w:tcPr>
            <w:tcW w:type="dxa" w:w="374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Settlement treatment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Principal outstanding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5,00,000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Usually recovered in full or near-full</w:t>
            </w:r>
          </w:p>
        </w:tc>
      </w:tr>
      <w:tr>
        <w:tc>
          <w:tcPr>
            <w:tcW w:type="dxa" w:w="316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Accrued interest</w:t>
            </w:r>
          </w:p>
        </w:tc>
        <w:tc>
          <w:tcPr>
            <w:tcW w:type="dxa" w:w="259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1,80,000</w:t>
            </w:r>
          </w:p>
        </w:tc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Partly waived (e.g., 40%)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Penal &amp; other charges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70,000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Largely/fully waived (e.g., 80%)</w:t>
            </w:r>
          </w:p>
        </w:tc>
      </w:tr>
      <w:tr>
        <w:tc>
          <w:tcPr>
            <w:tcW w:type="dxa" w:w="316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Indicative OTS</w:t>
            </w:r>
          </w:p>
        </w:tc>
        <w:tc>
          <w:tcPr>
            <w:tcW w:type="dxa" w:w="259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~6,22,000</w:t>
            </w:r>
          </w:p>
        </w:tc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Principal + net interest + net penal, less discount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1.3  Structuring &amp; security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Prefer a </w:t>
      </w:r>
      <w:r>
        <w:rPr>
          <w:rFonts w:ascii="Calibri" w:hAnsi="Calibri"/>
          <w:b/>
          <w:i w:val="0"/>
          <w:color w:val="1B2A32"/>
          <w:sz w:val="21"/>
        </w:rPr>
        <w:t>lump-sum</w:t>
      </w:r>
      <w:r>
        <w:rPr>
          <w:rFonts w:ascii="Calibri" w:hAnsi="Calibri"/>
          <w:b w:val="0"/>
          <w:i w:val="0"/>
          <w:color w:val="1B2A32"/>
          <w:sz w:val="21"/>
        </w:rPr>
        <w:t xml:space="preserve"> where the borrower can pay; otherwise a short, realistic </w:t>
      </w:r>
      <w:r>
        <w:rPr>
          <w:rFonts w:ascii="Calibri" w:hAnsi="Calibri"/>
          <w:b/>
          <w:i w:val="0"/>
          <w:color w:val="1B2A32"/>
          <w:sz w:val="21"/>
        </w:rPr>
        <w:t>instalment</w:t>
      </w:r>
      <w:r>
        <w:rPr>
          <w:rFonts w:ascii="Calibri" w:hAnsi="Calibri"/>
          <w:b w:val="0"/>
          <w:i w:val="0"/>
          <w:color w:val="1B2A32"/>
          <w:sz w:val="21"/>
        </w:rPr>
        <w:t xml:space="preserve"> plan with clear default consequences.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Secure the money in escrow</w:t>
      </w:r>
      <w:r>
        <w:rPr>
          <w:rFonts w:ascii="Calibri" w:hAnsi="Calibri"/>
          <w:b w:val="0"/>
          <w:i w:val="0"/>
          <w:color w:val="1B2A32"/>
          <w:sz w:val="21"/>
        </w:rPr>
        <w:t xml:space="preserve">; release against milestones; the final release triggers the </w:t>
      </w:r>
      <w:r>
        <w:rPr>
          <w:rFonts w:ascii="Calibri" w:hAnsi="Calibri"/>
          <w:b/>
          <w:i w:val="0"/>
          <w:color w:val="1B2A32"/>
          <w:sz w:val="21"/>
        </w:rPr>
        <w:t>No-Dues/NOC</w:t>
      </w:r>
      <w:r>
        <w:rPr>
          <w:rFonts w:ascii="Calibri" w:hAnsi="Calibri"/>
          <w:b w:val="0"/>
          <w:i w:val="0"/>
          <w:color w:val="1B2A32"/>
          <w:sz w:val="21"/>
        </w:rPr>
        <w:t>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Record the </w:t>
      </w:r>
      <w:r>
        <w:rPr>
          <w:rFonts w:ascii="Calibri" w:hAnsi="Calibri"/>
          <w:b/>
          <w:i w:val="0"/>
          <w:color w:val="1B2A32"/>
          <w:sz w:val="21"/>
        </w:rPr>
        <w:t>waiver</w:t>
      </w:r>
      <w:r>
        <w:rPr>
          <w:rFonts w:ascii="Calibri" w:hAnsi="Calibri"/>
          <w:b w:val="0"/>
          <w:i w:val="0"/>
          <w:color w:val="1B2A32"/>
          <w:sz w:val="21"/>
        </w:rPr>
        <w:t xml:space="preserve"> expressly, the </w:t>
      </w:r>
      <w:r>
        <w:rPr>
          <w:rFonts w:ascii="Calibri" w:hAnsi="Calibri"/>
          <w:b/>
          <w:i w:val="0"/>
          <w:color w:val="1B2A32"/>
          <w:sz w:val="21"/>
        </w:rPr>
        <w:t>credit-bureau status</w:t>
      </w:r>
      <w:r>
        <w:rPr>
          <w:rFonts w:ascii="Calibri" w:hAnsi="Calibri"/>
          <w:b w:val="0"/>
          <w:i w:val="0"/>
          <w:color w:val="1B2A32"/>
          <w:sz w:val="21"/>
        </w:rPr>
        <w:t xml:space="preserve"> to be filed, and the treatment of any </w:t>
      </w:r>
      <w:r>
        <w:rPr>
          <w:rFonts w:ascii="Calibri" w:hAnsi="Calibri"/>
          <w:b/>
          <w:i w:val="0"/>
          <w:color w:val="1B2A32"/>
          <w:sz w:val="21"/>
        </w:rPr>
        <w:t>security</w:t>
      </w:r>
      <w:r>
        <w:rPr>
          <w:rFonts w:ascii="Calibri" w:hAnsi="Calibri"/>
          <w:b w:val="0"/>
          <w:i w:val="0"/>
          <w:color w:val="1B2A32"/>
          <w:sz w:val="21"/>
        </w:rPr>
        <w:t xml:space="preserve"> (release of mortgage/charge, return of vehicle, redemption of gold).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Where a guarantor or co-borrower is involved, capture their </w:t>
      </w:r>
      <w:r>
        <w:rPr>
          <w:rFonts w:ascii="Calibri" w:hAnsi="Calibri"/>
          <w:b/>
          <w:i w:val="0"/>
          <w:color w:val="1B2A32"/>
          <w:sz w:val="21"/>
        </w:rPr>
        <w:t>discharge</w:t>
      </w:r>
      <w:r>
        <w:rPr>
          <w:rFonts w:ascii="Calibri" w:hAnsi="Calibri"/>
          <w:b w:val="0"/>
          <w:i w:val="0"/>
          <w:color w:val="1B2A32"/>
          <w:sz w:val="21"/>
        </w:rPr>
        <w:t xml:space="preserve"> on settlement.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1.4  Tax, provisioning &amp; reporting — flag for advice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5ECD6"/>
            <w:tcBorders>
              <w:start w:val="single" w:sz="22" w:space="0" w:color="C6A15B"/>
            </w:tcBorders>
          </w:tcPr>
          <w:p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Borrower's tax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A waiver of a </w:t>
            </w:r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loan/business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 liability may be taxable in the borrower's hands (e.g., under s.41(1)/s.28(iv) for business loans, or as income from other sources for certain waivers). A waiver of interest on a personal loan is generally not taxed as income but facts vary. </w:t>
            </w:r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The neutral does not give tax advice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 — flag it and advise the borrower to consult a professional.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For the lender, the sacrifice affects </w:t>
      </w:r>
      <w:r>
        <w:rPr>
          <w:rFonts w:ascii="Calibri" w:hAnsi="Calibri"/>
          <w:b/>
          <w:i w:val="0"/>
          <w:color w:val="1B2A32"/>
          <w:sz w:val="21"/>
        </w:rPr>
        <w:t>provisioning</w:t>
      </w:r>
      <w:r>
        <w:rPr>
          <w:rFonts w:ascii="Calibri" w:hAnsi="Calibri"/>
          <w:b w:val="0"/>
          <w:i w:val="0"/>
          <w:color w:val="1B2A32"/>
          <w:sz w:val="21"/>
        </w:rPr>
        <w:t xml:space="preserve"> and the account's regulatory classification; the officer must act within delegated authority. None of this is decided by the neutral, but understanding it helps the neutral read the lender's constraints.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1.5  Credit reporting after an OTS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Under the RBI framework and the Credit Information Companies (Regulation) Act, 2005, the lender must report the account </w:t>
      </w:r>
      <w:r>
        <w:rPr>
          <w:rFonts w:ascii="Calibri" w:hAnsi="Calibri"/>
          <w:b/>
          <w:i w:val="0"/>
          <w:color w:val="1B2A32"/>
          <w:sz w:val="21"/>
        </w:rPr>
        <w:t>accurately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typically as </w:t>
      </w:r>
      <w:r>
        <w:rPr>
          <w:rFonts w:ascii="Calibri" w:hAnsi="Calibri"/>
          <w:b/>
          <w:i w:val="0"/>
          <w:color w:val="1B2A32"/>
          <w:sz w:val="21"/>
        </w:rPr>
        <w:t>"settled"</w:t>
      </w:r>
      <w:r>
        <w:rPr>
          <w:rFonts w:ascii="Calibri" w:hAnsi="Calibri"/>
          <w:b w:val="0"/>
          <w:i w:val="0"/>
          <w:color w:val="1B2A32"/>
          <w:sz w:val="21"/>
        </w:rPr>
        <w:t xml:space="preserve"> (or </w:t>
      </w:r>
      <w:r>
        <w:rPr>
          <w:rFonts w:ascii="Calibri" w:hAnsi="Calibri"/>
          <w:b/>
          <w:i w:val="0"/>
          <w:color w:val="1B2A32"/>
          <w:sz w:val="21"/>
        </w:rPr>
        <w:t>"closed"</w:t>
      </w:r>
      <w:r>
        <w:rPr>
          <w:rFonts w:ascii="Calibri" w:hAnsi="Calibri"/>
          <w:b w:val="0"/>
          <w:i w:val="0"/>
          <w:color w:val="1B2A32"/>
          <w:sz w:val="21"/>
        </w:rPr>
        <w:t xml:space="preserve"> where full principal is paid) — and update the bureaus within the prescribed cycle. A </w:t>
      </w:r>
      <w:r>
        <w:rPr>
          <w:rFonts w:ascii="Calibri" w:hAnsi="Calibri"/>
          <w:b/>
          <w:i w:val="0"/>
          <w:color w:val="1B2A32"/>
          <w:sz w:val="21"/>
        </w:rPr>
        <w:t>"settled"</w:t>
      </w:r>
      <w:r>
        <w:rPr>
          <w:rFonts w:ascii="Calibri" w:hAnsi="Calibri"/>
          <w:b w:val="0"/>
          <w:i w:val="0"/>
          <w:color w:val="1B2A32"/>
          <w:sz w:val="21"/>
        </w:rPr>
        <w:t xml:space="preserve"> status is a factual record; it does not by itself bar future credit, though lenders may view it in underwriting. Build the exact status and the update timeline into the Settlement Agreement.</w:t>
      </w:r>
    </w:p>
    <w:p>
      <w:r>
        <w:br w:type="page"/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2.  Cheque-Bounce (Section 138) — Practitioner Guide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2.1  The offence &amp; the clock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Section 138 of the Negotiable Instruments Act, 1881 makes dishonour of a cheque (for insufficiency of funds or exceeding the arrangement) an offence, where the cheque was for a </w:t>
      </w:r>
      <w:r>
        <w:rPr>
          <w:rFonts w:ascii="Calibri" w:hAnsi="Calibri"/>
          <w:b/>
          <w:i w:val="0"/>
          <w:color w:val="1B2A32"/>
          <w:sz w:val="21"/>
        </w:rPr>
        <w:t>legally enforceable debt</w:t>
      </w:r>
      <w:r>
        <w:rPr>
          <w:rFonts w:ascii="Calibri" w:hAnsi="Calibri"/>
          <w:b w:val="0"/>
          <w:i w:val="0"/>
          <w:color w:val="1B2A32"/>
          <w:sz w:val="21"/>
        </w:rPr>
        <w:t xml:space="preserve">. The steps and timelines are strict: the payee must issue a </w:t>
      </w:r>
      <w:r>
        <w:rPr>
          <w:rFonts w:ascii="Calibri" w:hAnsi="Calibri"/>
          <w:b/>
          <w:i w:val="0"/>
          <w:color w:val="1B2A32"/>
          <w:sz w:val="21"/>
        </w:rPr>
        <w:t>demand notice within 30 days</w:t>
      </w:r>
      <w:r>
        <w:rPr>
          <w:rFonts w:ascii="Calibri" w:hAnsi="Calibri"/>
          <w:b w:val="0"/>
          <w:i w:val="0"/>
          <w:color w:val="1B2A32"/>
          <w:sz w:val="21"/>
        </w:rPr>
        <w:t xml:space="preserve"> of the bank's return memo; the drawer has </w:t>
      </w:r>
      <w:r>
        <w:rPr>
          <w:rFonts w:ascii="Calibri" w:hAnsi="Calibri"/>
          <w:b/>
          <w:i w:val="0"/>
          <w:color w:val="1B2A32"/>
          <w:sz w:val="21"/>
        </w:rPr>
        <w:t>15 days</w:t>
      </w:r>
      <w:r>
        <w:rPr>
          <w:rFonts w:ascii="Calibri" w:hAnsi="Calibri"/>
          <w:b w:val="0"/>
          <w:i w:val="0"/>
          <w:color w:val="1B2A32"/>
          <w:sz w:val="21"/>
        </w:rPr>
        <w:t xml:space="preserve"> to pay; a </w:t>
      </w:r>
      <w:r>
        <w:rPr>
          <w:rFonts w:ascii="Calibri" w:hAnsi="Calibri"/>
          <w:b/>
          <w:i w:val="0"/>
          <w:color w:val="1B2A32"/>
          <w:sz w:val="21"/>
        </w:rPr>
        <w:t>complaint</w:t>
      </w:r>
      <w:r>
        <w:rPr>
          <w:rFonts w:ascii="Calibri" w:hAnsi="Calibri"/>
          <w:b w:val="0"/>
          <w:i w:val="0"/>
          <w:color w:val="1B2A32"/>
          <w:sz w:val="21"/>
        </w:rPr>
        <w:t xml:space="preserve"> must be filed within </w:t>
      </w:r>
      <w:r>
        <w:rPr>
          <w:rFonts w:ascii="Calibri" w:hAnsi="Calibri"/>
          <w:b/>
          <w:i w:val="0"/>
          <w:color w:val="1B2A32"/>
          <w:sz w:val="21"/>
        </w:rPr>
        <w:t>one month</w:t>
      </w:r>
      <w:r>
        <w:rPr>
          <w:rFonts w:ascii="Calibri" w:hAnsi="Calibri"/>
          <w:b w:val="0"/>
          <w:i w:val="0"/>
          <w:color w:val="1B2A32"/>
          <w:sz w:val="21"/>
        </w:rPr>
        <w:t xml:space="preserve"> of the cause of action arising. Explain these to the parties but do not give legal advice.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Stage</w:t>
            </w:r>
          </w:p>
        </w:tc>
        <w:tc>
          <w:tcPr>
            <w:tcW w:type="dxa" w:w="288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Timeline</w:t>
            </w:r>
          </w:p>
        </w:tc>
        <w:tc>
          <w:tcPr>
            <w:tcW w:type="dxa" w:w="3456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Cheque dishonour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—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Bank return memo is the trigger</w:t>
            </w:r>
          </w:p>
        </w:tc>
      </w:tr>
      <w:tr>
        <w:tc>
          <w:tcPr>
            <w:tcW w:type="dxa" w:w="316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Demand notice by payee</w:t>
            </w:r>
          </w:p>
        </w:tc>
        <w:tc>
          <w:tcPr>
            <w:tcW w:type="dxa" w:w="28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Within 30 days of return</w:t>
            </w:r>
          </w:p>
        </w:tc>
        <w:tc>
          <w:tcPr>
            <w:tcW w:type="dxa" w:w="34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Statutory pre-condition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Drawer's window to pay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15 days from notice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Payment here averts the offence</w:t>
            </w:r>
          </w:p>
        </w:tc>
      </w:tr>
      <w:tr>
        <w:tc>
          <w:tcPr>
            <w:tcW w:type="dxa" w:w="316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Complaint to Magistrate</w:t>
            </w:r>
          </w:p>
        </w:tc>
        <w:tc>
          <w:tcPr>
            <w:tcW w:type="dxa" w:w="28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Within 1 month of cause of action</w:t>
            </w:r>
          </w:p>
        </w:tc>
        <w:tc>
          <w:tcPr>
            <w:tcW w:type="dxa" w:w="34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Cause arises after the 15 days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2.2  Interim compensation &amp; appeal deposit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Two provisions strengthen the payee and encourage early settlement: </w:t>
      </w:r>
      <w:r>
        <w:rPr>
          <w:rFonts w:ascii="Calibri" w:hAnsi="Calibri"/>
          <w:b/>
          <w:i w:val="0"/>
          <w:color w:val="1B2A32"/>
          <w:sz w:val="21"/>
        </w:rPr>
        <w:t>Section 143A</w:t>
      </w:r>
      <w:r>
        <w:rPr>
          <w:rFonts w:ascii="Calibri" w:hAnsi="Calibri"/>
          <w:b w:val="0"/>
          <w:i w:val="0"/>
          <w:color w:val="1B2A32"/>
          <w:sz w:val="21"/>
        </w:rPr>
        <w:t xml:space="preserve"> allows the trial court to order the drawer to pay </w:t>
      </w:r>
      <w:r>
        <w:rPr>
          <w:rFonts w:ascii="Calibri" w:hAnsi="Calibri"/>
          <w:b/>
          <w:i w:val="0"/>
          <w:color w:val="1B2A32"/>
          <w:sz w:val="21"/>
        </w:rPr>
        <w:t>interim compensation up to 20%</w:t>
      </w:r>
      <w:r>
        <w:rPr>
          <w:rFonts w:ascii="Calibri" w:hAnsi="Calibri"/>
          <w:b w:val="0"/>
          <w:i w:val="0"/>
          <w:color w:val="1B2A32"/>
          <w:sz w:val="21"/>
        </w:rPr>
        <w:t xml:space="preserve"> of the cheque amount; </w:t>
      </w:r>
      <w:r>
        <w:rPr>
          <w:rFonts w:ascii="Calibri" w:hAnsi="Calibri"/>
          <w:b/>
          <w:i w:val="0"/>
          <w:color w:val="1B2A32"/>
          <w:sz w:val="21"/>
        </w:rPr>
        <w:t>Section 148</w:t>
      </w:r>
      <w:r>
        <w:rPr>
          <w:rFonts w:ascii="Calibri" w:hAnsi="Calibri"/>
          <w:b w:val="0"/>
          <w:i w:val="0"/>
          <w:color w:val="1B2A32"/>
          <w:sz w:val="21"/>
        </w:rPr>
        <w:t xml:space="preserve"> allows the appellate court to require a deposit of a </w:t>
      </w:r>
      <w:r>
        <w:rPr>
          <w:rFonts w:ascii="Calibri" w:hAnsi="Calibri"/>
          <w:b/>
          <w:i w:val="0"/>
          <w:color w:val="1B2A32"/>
          <w:sz w:val="21"/>
        </w:rPr>
        <w:t>minimum 20%</w:t>
      </w:r>
      <w:r>
        <w:rPr>
          <w:rFonts w:ascii="Calibri" w:hAnsi="Calibri"/>
          <w:b w:val="0"/>
          <w:i w:val="0"/>
          <w:color w:val="1B2A32"/>
          <w:sz w:val="21"/>
        </w:rPr>
        <w:t xml:space="preserve"> of the fine/compensation pending appeal. These change the settlement dynamics and should be understood by the neutral.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2.3  Settlement &amp; compounding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Section 138 is </w:t>
      </w:r>
      <w:r>
        <w:rPr>
          <w:rFonts w:ascii="Calibri" w:hAnsi="Calibri"/>
          <w:b/>
          <w:i w:val="0"/>
          <w:color w:val="1B2A32"/>
          <w:sz w:val="21"/>
        </w:rPr>
        <w:t>compoundable</w:t>
      </w:r>
      <w:r>
        <w:rPr>
          <w:rFonts w:ascii="Calibri" w:hAnsi="Calibri"/>
          <w:b w:val="0"/>
          <w:i w:val="0"/>
          <w:color w:val="1B2A32"/>
          <w:sz w:val="21"/>
        </w:rPr>
        <w:t xml:space="preserve"> under </w:t>
      </w:r>
      <w:r>
        <w:rPr>
          <w:rFonts w:ascii="Calibri" w:hAnsi="Calibri"/>
          <w:b/>
          <w:i w:val="0"/>
          <w:color w:val="1B2A32"/>
          <w:sz w:val="21"/>
        </w:rPr>
        <w:t>Section 147</w:t>
      </w:r>
      <w:r>
        <w:rPr>
          <w:rFonts w:ascii="Calibri" w:hAnsi="Calibri"/>
          <w:b w:val="0"/>
          <w:i w:val="0"/>
          <w:color w:val="1B2A32"/>
          <w:sz w:val="21"/>
        </w:rPr>
        <w:t xml:space="preserve">. The neutral facilitates a settlement — cheque amount plus reasonable interest/costs — </w:t>
      </w:r>
      <w:r>
        <w:rPr>
          <w:rFonts w:ascii="Calibri" w:hAnsi="Calibri"/>
          <w:b/>
          <w:i w:val="0"/>
          <w:color w:val="1B2A32"/>
          <w:sz w:val="21"/>
        </w:rPr>
        <w:t>secured through escrow</w:t>
      </w:r>
      <w:r>
        <w:rPr>
          <w:rFonts w:ascii="Calibri" w:hAnsi="Calibri"/>
          <w:b w:val="0"/>
          <w:i w:val="0"/>
          <w:color w:val="1B2A32"/>
          <w:sz w:val="21"/>
        </w:rPr>
        <w:t xml:space="preserve">; on payment, the parties file a </w:t>
      </w:r>
      <w:r>
        <w:rPr>
          <w:rFonts w:ascii="Calibri" w:hAnsi="Calibri"/>
          <w:b/>
          <w:i w:val="0"/>
          <w:color w:val="1B2A32"/>
          <w:sz w:val="21"/>
        </w:rPr>
        <w:t>compounding memorandum</w:t>
      </w:r>
      <w:r>
        <w:rPr>
          <w:rFonts w:ascii="Calibri" w:hAnsi="Calibri"/>
          <w:b w:val="0"/>
          <w:i w:val="0"/>
          <w:color w:val="1B2A32"/>
          <w:sz w:val="21"/>
        </w:rPr>
        <w:t xml:space="preserve"> so the court closes the case. The Supreme Court in </w:t>
      </w:r>
      <w:r>
        <w:rPr>
          <w:rFonts w:ascii="Calibri" w:hAnsi="Calibri"/>
          <w:b/>
          <w:i w:val="0"/>
          <w:color w:val="1B2A32"/>
          <w:sz w:val="21"/>
        </w:rPr>
        <w:t>Damodar Prabhu v. Sayed Babalal H. (2010)</w:t>
      </w:r>
      <w:r>
        <w:rPr>
          <w:rFonts w:ascii="Calibri" w:hAnsi="Calibri"/>
          <w:b w:val="0"/>
          <w:i w:val="0"/>
          <w:color w:val="1B2A32"/>
          <w:sz w:val="21"/>
        </w:rPr>
        <w:t xml:space="preserve"> laid down </w:t>
      </w:r>
      <w:r>
        <w:rPr>
          <w:rFonts w:ascii="Calibri" w:hAnsi="Calibri"/>
          <w:b/>
          <w:i w:val="0"/>
          <w:color w:val="1B2A32"/>
          <w:sz w:val="21"/>
        </w:rPr>
        <w:t>graded costs</w:t>
      </w:r>
      <w:r>
        <w:rPr>
          <w:rFonts w:ascii="Calibri" w:hAnsi="Calibri"/>
          <w:b w:val="0"/>
          <w:i w:val="0"/>
          <w:color w:val="1B2A32"/>
          <w:sz w:val="21"/>
        </w:rPr>
        <w:t xml:space="preserve"> that rise the later a matter is compounded — a strong incentive to settle early. Where the parties prefer, the settlement may be recorded in a </w:t>
      </w:r>
      <w:r>
        <w:rPr>
          <w:rFonts w:ascii="Calibri" w:hAnsi="Calibri"/>
          <w:b/>
          <w:i w:val="0"/>
          <w:color w:val="1B2A32"/>
          <w:sz w:val="21"/>
        </w:rPr>
        <w:t>Lok Adalat</w:t>
      </w:r>
      <w:r>
        <w:rPr>
          <w:rFonts w:ascii="Calibri" w:hAnsi="Calibri"/>
          <w:b w:val="0"/>
          <w:i w:val="0"/>
          <w:color w:val="1B2A32"/>
          <w:sz w:val="21"/>
        </w:rPr>
        <w:t xml:space="preserve"> for a final decree.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6E0E4"/>
            <w:tcBorders>
              <w:start w:val="single" w:sz="22" w:space="0" w:color="B23A48"/>
            </w:tcBorders>
          </w:tcPr>
          <w:p>
            <w:r>
              <w:rPr>
                <w:rFonts w:ascii="Calibri" w:hAnsi="Calibri"/>
                <w:b/>
                <w:i w:val="0"/>
                <w:color w:val="B23A48"/>
                <w:sz w:val="18"/>
              </w:rPr>
              <w:t>Handle the criminal colour with care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A s.138 matter is quasi-criminal. The neutral facilitates a lawful compounding; the neutral must </w:t>
            </w:r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never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 pressure a drawer with the threat of conviction, and both sides should have the chance to take legal advice before compounding.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556168"/>
        <w:sz w:val="16"/>
      </w:rPr>
      <w:t xml:space="preserve">Equator Resolution · An Infrabyx Group venture · Confidential draft — not legal advice · Page </w:t>
    </w:r>
    <w:r>
      <w:rPr>
        <w:rFonts w:ascii="Calibri" w:hAnsi="Calibri"/>
        <w:color w:val="55616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— Financial &amp; Loan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550E50-F226-4151-89E5-E4B4FC0ABD41}"/>
</file>

<file path=customXml/itemProps3.xml><?xml version="1.0" encoding="utf-8"?>
<ds:datastoreItem xmlns:ds="http://schemas.openxmlformats.org/officeDocument/2006/customXml" ds:itemID="{A4F92E55-F6EA-4965-B115-4A90DB4A1841}"/>
</file>

<file path=customXml/itemProps4.xml><?xml version="1.0" encoding="utf-8"?>
<ds:datastoreItem xmlns:ds="http://schemas.openxmlformats.org/officeDocument/2006/customXml" ds:itemID="{6A48C27E-1347-4EE1-B5B3-91570136E92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