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Market-Sizing &amp; Opportunity Note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scale of India's financial &amp; loan dispute opportunity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On the figures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The headline figures below are drawn from official sources (Ministry of Law &amp; Justice / Lok Sabha, the RBI Ombudsman Annual Report and RBI circulars) and are current to the dates stated. Confirm the latest position at go-live; items still marked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[verify]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are estimates that need a cited source.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Why the opportunity is large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India's credit economy has expanded far faster than its dispute-resolution capacity. The result is a very large, chronic backlog of borrower–lender disputes that the courts and statutory forums cannot clear — precisely the high-volume, low-ticket category that a settlement institution is built for.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Demand drivers (with sources)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73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Driver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Scale</w:t>
            </w:r>
          </w:p>
        </w:tc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Relevance to Equator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Cheque-bounce (NI-138) cases pending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43,05,932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cases pending nationwide as at 20 Dec 2024 (Ministry of Law &amp; Justice, Lok Sabha reply); highest in Rajasthan (&gt;6.4 lakh)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Directly addressable by mediation + compounding (s.147) + Lok Adalat.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Ombudsman complaints (FY 2023-24)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9,34,355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complaints, up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32.81%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YoY; 95% disposal.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‘Loans &amp; Advances’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the top category — 85,281 complaints (29%), up 42.7%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Signals large unmet grievance demand; Equator settles the money dispute alongside.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Digital-lending oversight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RBI (Digital Lending) Directions,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8 May 2025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 consolidate the framework; mobile/electronic-banking complaints 57,242 (19.5%) in FY24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Grievance + settlement flow under the 2025 Directions.</w:t>
            </w:r>
          </w:p>
        </w:tc>
      </w:tr>
      <w:tr>
        <w:tc>
          <w:tcPr>
            <w:tcW w:type="dxa" w:w="273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Bank/NBFC stressed &amp; written-off retail loans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Large, rising retail &amp; MSME delinquency pools [verify — cite latest RBI Financial Stability Report]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 is the core settlement product.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MSME delayed-payment / loan disputes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Very large MSME base [verify — cite MSME Ministry / Samadhaan data]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 + (for MSME suppliers) Samadhaan interface.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A simple TAM / SAM / SOM frame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numbers below are </w:t>
      </w:r>
      <w:r>
        <w:rPr>
          <w:rFonts w:ascii="Calibri" w:hAnsi="Calibri"/>
          <w:b/>
          <w:i w:val="0"/>
          <w:color w:val="1B2A32"/>
          <w:sz w:val="21"/>
        </w:rPr>
        <w:t>illustrative placeholders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show the method, not a forecast. Replace each with a verified figure and a stated source before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14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Definition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Illustrative basis [verify]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All borrower–lender disputes capable of consensual settlement each year.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Cheque-bounce + retail/MSME delinquency + grievances — many millions of matters.</w:t>
            </w:r>
          </w:p>
        </w:tc>
      </w:tr>
      <w:tr>
        <w:tc>
          <w:tcPr>
            <w:tcW w:type="dxa" w:w="14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SAM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Those in Equator's serviceable segments &amp; geographies, digitally reachable.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 meaningful share reachable online with lender panels.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SOM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What Equator can realistically win in 3–5 years.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 small % of SAM via lender partnerships &amp; clause insertion — still large in absolute terms.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From volume to revenue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Because the ticket is small, the model is a </w:t>
      </w:r>
      <w:r>
        <w:rPr>
          <w:rFonts w:ascii="Calibri" w:hAnsi="Calibri"/>
          <w:b/>
          <w:i w:val="0"/>
          <w:color w:val="1B2A32"/>
          <w:sz w:val="21"/>
        </w:rPr>
        <w:t>volume game</w:t>
      </w:r>
      <w:r>
        <w:rPr>
          <w:rFonts w:ascii="Calibri" w:hAnsi="Calibri"/>
          <w:b w:val="0"/>
          <w:i w:val="0"/>
          <w:color w:val="1B2A32"/>
          <w:sz w:val="21"/>
        </w:rPr>
        <w:t>: modest per-case fees across a very large base, with lender panels providing predictable batch flow. The vertical financial model shows the unit economics turning EBITDA-positive around month 11 at a steady mix of a few hundred cases a month — and the ceiling is far higher given the size of the backlog.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How Equator captures it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Lender panels &amp; SLAs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banks, NBFCs and fintechs route batches of delinquent and cheque-bounce matters.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Clause insertion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Equator ADR clause in loan documentation creates a self-replenishing pipeline.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Borrower-side demand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AI Dispute Explorer, harassment escalation and OTS estimator attract borrowers directly.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Forum feed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settlements recorded in Lok Adalat; grievances escalated to the RBI Ombudsman.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Sources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Cheque-bounce pendency (43,05,932 as at 20 Dec 2024): Ministry of Law &amp; Justice reply in the Lok Sabha, reported Dec 2024.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RBI Ombudsman FY 2023-24 (9,34,355 complaints; +32.81%; 95% disposal; ‘Loans &amp; Advances’ 85,281): RBI Annual Report of the Ombudsman Scheme 2023-24 (Jan 2025).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RBI (Digital Lending) Directions, 2025: RBI circular dated 8 May 2025 (consolidating digital-lending norms since 2022; FLDG cap 5%).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RBI Framework for Compromise Settlements &amp; Technical Write-offs: RBI/2023-24/40, dated 8 June 2023 (12-month cooling floor).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Discipline on numbers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The headline demand figures are now sourced. The two items still marked [verify] (stressed-asset pools and MSME data) must be given a cited source before this note is used externally.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E3B683-84D3-40C3-9179-51C22837C44C}"/>
</file>

<file path=customXml/itemProps3.xml><?xml version="1.0" encoding="utf-8"?>
<ds:datastoreItem xmlns:ds="http://schemas.openxmlformats.org/officeDocument/2006/customXml" ds:itemID="{88AD1BCB-2360-49EF-BDAE-67FC9A686C0D}"/>
</file>

<file path=customXml/itemProps4.xml><?xml version="1.0" encoding="utf-8"?>
<ds:datastoreItem xmlns:ds="http://schemas.openxmlformats.org/officeDocument/2006/customXml" ds:itemID="{F187E064-A758-4FC4-B584-055E78186A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