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Empanelment Criteria &amp; Scoring Rubric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Building Equator's panel of financial neutrals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Who we empanel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Equator's financial panel needs neutrals who understand </w:t>
      </w:r>
      <w:r>
        <w:rPr>
          <w:rFonts w:ascii="Calibri" w:hAnsi="Calibri"/>
          <w:b/>
          <w:i w:val="0"/>
          <w:color w:val="1B2A32"/>
          <w:sz w:val="21"/>
        </w:rPr>
        <w:t>both</w:t>
      </w:r>
      <w:r>
        <w:rPr>
          <w:rFonts w:ascii="Calibri" w:hAnsi="Calibri"/>
          <w:b w:val="0"/>
          <w:i w:val="0"/>
          <w:color w:val="1B2A32"/>
          <w:sz w:val="21"/>
        </w:rPr>
        <w:t xml:space="preserve"> mediation and the financial sector. We recruit across complementary backgrounds and grade them A/B/C by seniority, experience and settlement track record.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Eligible backgrounds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Retired bankers &amp; senior credit/collections professionals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deep understanding of OTS, provisioning and recovery.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Retired DRT/DRAT presiding officers &amp; recovery officers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enforcement and secured-debt expertise.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Banking, finance &amp; insolvency lawyers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NI Act, SARFAESI, IBC, consumer and RBI regulation.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Chartered Accountants / Cost Accountants / Company Secretaries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numbers, restructuring, tax awareness.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Trained mediators &amp; conciliators</w:t>
      </w:r>
      <w:r>
        <w:rPr>
          <w:rFonts w:ascii="Calibri" w:hAnsi="Calibri"/>
          <w:b w:val="0"/>
          <w:i w:val="0"/>
          <w:color w:val="1B2A32"/>
          <w:sz w:val="21"/>
        </w:rPr>
        <w:t xml:space="preserve"> with financial-sector exposure.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Consumer-protection &amp; financial-inclusion specialists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borrower-protection and vulnerable-borrower handling.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Grading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00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Grade</w:t>
            </w:r>
          </w:p>
        </w:tc>
        <w:tc>
          <w:tcPr>
            <w:tcW w:type="dxa" w:w="489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Profile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Typical matters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15+ yrs seniority; senior ex-banker/retired DRT officer/senior counsel; strong settlement record.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High-value OTS, complex/secured, portfolio panels.</w:t>
            </w:r>
          </w:p>
        </w:tc>
      </w:tr>
      <w:tr>
        <w:tc>
          <w:tcPr>
            <w:tcW w:type="dxa" w:w="100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</w:t>
            </w:r>
          </w:p>
        </w:tc>
        <w:tc>
          <w:tcPr>
            <w:tcW w:type="dxa" w:w="48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8–15 yrs; solid financial + mediation experience.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Mid-value OTS, cheque-bounce, MSME.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Trained neutral; up to 8 yrs; consumer-finance exposure.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Small-value OTS, grievances, digital-lending, harassment escalation.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Scoring rubric (100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Criterion</w:t>
            </w:r>
          </w:p>
        </w:tc>
        <w:tc>
          <w:tcPr>
            <w:tcW w:type="dxa" w:w="115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Weight</w:t>
            </w:r>
          </w:p>
        </w:tc>
        <w:tc>
          <w:tcPr>
            <w:tcW w:type="dxa" w:w="489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we look for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Financial-sector expertise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25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Banking/NBFC/recovery/insolvency depth; product knowledge.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Mediation/conciliation skill &amp; training</w:t>
            </w:r>
          </w:p>
        </w:tc>
        <w:tc>
          <w:tcPr>
            <w:tcW w:type="dxa" w:w="11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</w:t>
            </w:r>
          </w:p>
        </w:tc>
        <w:tc>
          <w:tcPr>
            <w:tcW w:type="dxa" w:w="48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Certification; technique; settlement facilitation.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Settlement track record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15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Cases resolved; settlement rate; durability of settlements.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Legal &amp; regulatory knowledge</w:t>
            </w:r>
          </w:p>
        </w:tc>
        <w:tc>
          <w:tcPr>
            <w:tcW w:type="dxa" w:w="11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15</w:t>
            </w:r>
          </w:p>
        </w:tc>
        <w:tc>
          <w:tcPr>
            <w:tcW w:type="dxa" w:w="48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NI Act, SARFAESI/DRT, RBI directions, consumer law, DPDP.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Independence &amp; integrity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Clean conflict record; references; disciplinary history.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Borrower-protection orientation</w:t>
            </w:r>
          </w:p>
        </w:tc>
        <w:tc>
          <w:tcPr>
            <w:tcW w:type="dxa" w:w="11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</w:t>
            </w:r>
          </w:p>
        </w:tc>
        <w:tc>
          <w:tcPr>
            <w:tcW w:type="dxa" w:w="48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Fairness to vulnerable parties; no coercion.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Availability &amp; digital fluency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5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ODR-ready; responsiveness; language coverage.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Thresholds:</w:t>
      </w:r>
      <w:r>
        <w:rPr>
          <w:rFonts w:ascii="Calibri" w:hAnsi="Calibri"/>
          <w:b w:val="0"/>
          <w:i w:val="0"/>
          <w:color w:val="1B2A32"/>
          <w:sz w:val="21"/>
        </w:rPr>
        <w:t xml:space="preserve"> ≥80 → Grade A; 65–79 → Grade B; 50–64 → Grade C; &lt;50 → not empanelled. Re-score annually with outcome and feedback data; a sustained quality or conduct issue triggers review or removal.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Onboarding steps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Application &amp; CV; background &amp; conflict check.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Interview &amp; skills assessment against the rubric.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Sign the Code of Conduct and disclosure undertaking.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Induction on the Rules, forms, platform and playbooks.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Probationary matters with supervision; confirm grade.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Annual re-grading on performance &amp; feedback.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DE4D7A-D725-4A2F-A818-4AD8F869510D}"/>
</file>

<file path=customXml/itemProps3.xml><?xml version="1.0" encoding="utf-8"?>
<ds:datastoreItem xmlns:ds="http://schemas.openxmlformats.org/officeDocument/2006/customXml" ds:itemID="{9836C501-A68B-4545-96A8-B60FFA7CE50F}"/>
</file>

<file path=customXml/itemProps4.xml><?xml version="1.0" encoding="utf-8"?>
<ds:datastoreItem xmlns:ds="http://schemas.openxmlformats.org/officeDocument/2006/customXml" ds:itemID="{9F97DFD5-385F-4677-BB04-F185B57014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