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Lender Panel MoU &amp; Master Services Agreement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Template for onboarding a lender partner (to be settled by counsel)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Financial &amp; Loan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Template only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This is a drafting starting point, not a binding or complete agreement. Counsel must settle all terms — including liability, data protection, pricing and regulatory compliance — before execution.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Parties &amp; purpose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This Memorandum of Understanding / Master Services Agreement is between </w:t>
      </w:r>
      <w:r>
        <w:rPr>
          <w:rFonts w:ascii="Calibri" w:hAnsi="Calibri"/>
          <w:b/>
          <w:i w:val="0"/>
          <w:color w:val="1B2A32"/>
          <w:sz w:val="21"/>
        </w:rPr>
        <w:t>Equator Resolution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("Equator") and </w:t>
      </w:r>
      <w:r>
        <w:rPr>
          <w:rFonts w:ascii="Calibri" w:hAnsi="Calibri"/>
          <w:b/>
          <w:i w:val="0"/>
          <w:color w:val="1B2A32"/>
          <w:sz w:val="21"/>
        </w:rPr>
        <w:t>[Lender]</w:t>
      </w:r>
      <w:r>
        <w:rPr>
          <w:rFonts w:ascii="Calibri" w:hAnsi="Calibri"/>
          <w:b w:val="0"/>
          <w:i w:val="0"/>
          <w:color w:val="1B2A32"/>
          <w:sz w:val="21"/>
        </w:rPr>
        <w:t xml:space="preserve"> ("the Lender") for the reference and administration of the Lender's borrower disputes to Equator's mediation, conciliation and settlement services under Equator's Rules.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Key terms (heads of terms)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Clause</w:t>
            </w:r>
          </w:p>
        </w:tc>
        <w:tc>
          <w:tcPr>
            <w:tcW w:type="dxa" w:w="72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Substance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1. Scope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Categories of matters the Lender will refer (OTS/default, cheque-bounce, grievances, harassment).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2. Referral &amp; volumes</w:t>
            </w:r>
          </w:p>
        </w:tc>
        <w:tc>
          <w:tcPr>
            <w:tcW w:type="dxa" w:w="7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Referral mechanism (batch/API/portal); indicative monthly volumes; SLAs for acknowledgement &amp; scheduling.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3. Authority to settle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The Lender nominates officers empowered under its board-approved compromise-settlement policy.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4. Process</w:t>
            </w:r>
          </w:p>
        </w:tc>
        <w:tc>
          <w:tcPr>
            <w:tcW w:type="dxa" w:w="7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Equator administers per its Rules; neutral appointment; confidentiality; escrow; e-Sign/e-Stamp.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5. Fees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Per the Tariff / agreed schedule; who bears what; invoicing &amp; payment terms.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6. Escrow</w:t>
            </w:r>
          </w:p>
        </w:tc>
        <w:tc>
          <w:tcPr>
            <w:tcW w:type="dxa" w:w="7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Use of the escrow facility; release milestones; No-Dues/NOC issuance.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7. Credit reporting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The Lender's obligation to file accurate bureau updates on settlement.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8. Data protection</w:t>
            </w:r>
          </w:p>
        </w:tc>
        <w:tc>
          <w:tcPr>
            <w:tcW w:type="dxa" w:w="7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DPDP roles (controller/processor); security; breach; data localisation as applicable.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9. Conduct &amp; compliance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Both parties comply with RBI directions &amp; FPC; no coercive recovery via the process.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10. Records &amp; MIS</w:t>
            </w:r>
          </w:p>
        </w:tc>
        <w:tc>
          <w:tcPr>
            <w:tcW w:type="dxa" w:w="7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Reporting, dashboards, audit rights, quarterly business reviews.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11. Term &amp; termination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Term; renewal; termination; survival of confidentiality &amp; pending matters.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12. Liability &amp; indemnity</w:t>
            </w:r>
          </w:p>
        </w:tc>
        <w:tc>
          <w:tcPr>
            <w:tcW w:type="dxa" w:w="7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Limitation of liability; indemnities; neutrality preserved (Equator not the Lender's agent).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13. Governing law &amp; disputes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Indian law; dispute-resolution between the parties; notices.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Signature block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For Equator Resolution: __________________  ·  For [Lender]: __________________  ·  Date: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Financial &amp; Loan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CB9CA-3C35-4BEB-8C6B-3163C5CD9A2A}"/>
</file>

<file path=customXml/itemProps3.xml><?xml version="1.0" encoding="utf-8"?>
<ds:datastoreItem xmlns:ds="http://schemas.openxmlformats.org/officeDocument/2006/customXml" ds:itemID="{8521573D-2C1D-469B-BA8D-4FF12F4BA6C4}"/>
</file>

<file path=customXml/itemProps4.xml><?xml version="1.0" encoding="utf-8"?>
<ds:datastoreItem xmlns:ds="http://schemas.openxmlformats.org/officeDocument/2006/customXml" ds:itemID="{3C8B71EB-A5BE-47C9-BECC-669349BAEF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