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Mediation, Conciliation &amp; Settlement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Lender Partnership &amp; BD Programme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Building the case pipeline with banks, NBFCs and fintechs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Financial &amp; Loan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The pipeline thesis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The financial vertical scales through </w:t>
      </w:r>
      <w:r>
        <w:rPr>
          <w:rFonts w:ascii="Calibri" w:hAnsi="Calibri"/>
          <w:b/>
          <w:i w:val="0"/>
          <w:color w:val="1B2A32"/>
          <w:sz w:val="21"/>
        </w:rPr>
        <w:t>institutional relationships</w:t>
      </w:r>
      <w:r>
        <w:rPr>
          <w:rFonts w:ascii="Calibri" w:hAnsi="Calibri"/>
          <w:b w:val="0"/>
          <w:i w:val="0"/>
          <w:color w:val="1B2A32"/>
          <w:sz w:val="21"/>
        </w:rPr>
        <w:t xml:space="preserve">, not one-off cases. Two engines drive volume: </w:t>
      </w:r>
      <w:r>
        <w:rPr>
          <w:rFonts w:ascii="Calibri" w:hAnsi="Calibri"/>
          <w:b/>
          <w:i w:val="0"/>
          <w:color w:val="1B2A32"/>
          <w:sz w:val="21"/>
        </w:rPr>
        <w:t>lender panels</w:t>
      </w:r>
      <w:r>
        <w:rPr>
          <w:rFonts w:ascii="Calibri" w:hAnsi="Calibri"/>
          <w:b w:val="0"/>
          <w:i w:val="0"/>
          <w:color w:val="1B2A32"/>
          <w:sz w:val="21"/>
        </w:rPr>
        <w:t xml:space="preserve"> (banks/NBFCs/fintechs routing batches of delinquent, cheque-bounce and grievance matters) and </w:t>
      </w:r>
      <w:r>
        <w:rPr>
          <w:rFonts w:ascii="Calibri" w:hAnsi="Calibri"/>
          <w:b/>
          <w:i w:val="0"/>
          <w:color w:val="1B2A32"/>
          <w:sz w:val="21"/>
        </w:rPr>
        <w:t>clause insertion</w:t>
      </w:r>
      <w:r>
        <w:rPr>
          <w:rFonts w:ascii="Calibri" w:hAnsi="Calibri"/>
          <w:b w:val="0"/>
          <w:i w:val="0"/>
          <w:color w:val="1B2A32"/>
          <w:sz w:val="21"/>
        </w:rPr>
        <w:t xml:space="preserve"> (the Equator ADR clause in loan documentation). Both create predictable, recurring flow.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Target partners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Banks (PSU &amp; private)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retail &amp; MSME collections, cheque-bounce portfolios, OTS drives.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NBFCs &amp; HFCs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vehicle, personal, home and gold-loan delinquency.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Fintech lenders &amp; LSPs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digital-lending grievances and small-ticket default.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Microfinance institutions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over-indebtedness and conduct-sensitive recovery.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ARCs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OTS on acquired portfolios.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Collections &amp; legal outsourcers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as referral channels.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The offer to a lender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88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Lender pain</w:t>
            </w:r>
          </w:p>
        </w:tc>
        <w:tc>
          <w:tcPr>
            <w:tcW w:type="dxa" w:w="388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Equator solution</w:t>
            </w:r>
          </w:p>
        </w:tc>
        <w:tc>
          <w:tcPr>
            <w:tcW w:type="dxa" w:w="302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High cost-to-collect; slow courts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Fast, escrow-secured settlement + Lok Adalat recording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Lower cost, faster recovery</w:t>
            </w:r>
          </w:p>
        </w:tc>
      </w:tr>
      <w:tr>
        <w:tc>
          <w:tcPr>
            <w:tcW w:type="dxa" w:w="2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Cheque-bounce backlog</w:t>
            </w:r>
          </w:p>
        </w:tc>
        <w:tc>
          <w:tcPr>
            <w:tcW w:type="dxa" w:w="388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Mediation + compounding at scale</w:t>
            </w:r>
          </w:p>
        </w:tc>
        <w:tc>
          <w:tcPr>
            <w:tcW w:type="dxa" w:w="302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Clears aged NI-138 portfolios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Conduct &amp; reputational risk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Neutral, FPC-compliant, auditable process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Reduced conduct risk</w:t>
            </w:r>
          </w:p>
        </w:tc>
      </w:tr>
      <w:tr>
        <w:tc>
          <w:tcPr>
            <w:tcW w:type="dxa" w:w="2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Board-policy OTS execution</w:t>
            </w:r>
          </w:p>
        </w:tc>
        <w:tc>
          <w:tcPr>
            <w:tcW w:type="dxa" w:w="388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Policy-aligned settlements with clean paper trail</w:t>
            </w:r>
          </w:p>
        </w:tc>
        <w:tc>
          <w:tcPr>
            <w:tcW w:type="dxa" w:w="302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Governance comfort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Grievance/Ombudsman exposure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Early settlement before escalation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Fewer escalations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Commercial models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Per-case tariff</w:t>
      </w:r>
      <w:r>
        <w:rPr>
          <w:rFonts w:ascii="Calibri" w:hAnsi="Calibri"/>
          <w:b w:val="0"/>
          <w:i w:val="0"/>
          <w:color w:val="1B2A32"/>
          <w:sz w:val="21"/>
        </w:rPr>
        <w:t xml:space="preserve"> with volume tiers; </w:t>
      </w:r>
      <w:r>
        <w:rPr>
          <w:rFonts w:ascii="Calibri" w:hAnsi="Calibri"/>
          <w:b/>
          <w:i w:val="0"/>
          <w:color w:val="1B2A32"/>
          <w:sz w:val="21"/>
        </w:rPr>
        <w:t>bulk/portfolio</w:t>
      </w:r>
      <w:r>
        <w:rPr>
          <w:rFonts w:ascii="Calibri" w:hAnsi="Calibri"/>
          <w:b w:val="0"/>
          <w:i w:val="0"/>
          <w:color w:val="1B2A32"/>
          <w:sz w:val="21"/>
        </w:rPr>
        <w:t xml:space="preserve"> pricing under an SLA.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Subscription / retainer</w:t>
      </w:r>
      <w:r>
        <w:rPr>
          <w:rFonts w:ascii="Calibri" w:hAnsi="Calibri"/>
          <w:b w:val="0"/>
          <w:i w:val="0"/>
          <w:color w:val="1B2A32"/>
          <w:sz w:val="21"/>
        </w:rPr>
        <w:t xml:space="preserve"> for a committed monthly case volume.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Success-linked</w:t>
      </w:r>
      <w:r>
        <w:rPr>
          <w:rFonts w:ascii="Calibri" w:hAnsi="Calibri"/>
          <w:b w:val="0"/>
          <w:i w:val="0"/>
          <w:color w:val="1B2A32"/>
          <w:sz w:val="21"/>
        </w:rPr>
        <w:t xml:space="preserve"> component on settled/recovered sums (within limits).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Integration</w:t>
      </w:r>
      <w:r>
        <w:rPr>
          <w:rFonts w:ascii="Calibri" w:hAnsi="Calibri"/>
          <w:b w:val="0"/>
          <w:i w:val="0"/>
          <w:color w:val="1B2A32"/>
          <w:sz w:val="21"/>
        </w:rPr>
        <w:t xml:space="preserve"> with the lender's LMS/collections stack for straight-through referral.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 BD motion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Target list &amp; warm intros (banking/NBFC networks).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Pilot: a ring-fenced batch (e.g., 100 cheque-bounce or OTS matters).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Prove metrics: settlement rate, cycle time, cost-to-collect, borrower satisfaction.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Convert to a panel SLA; embed the ADR clause in new loan documentation.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Expand across products &amp; geographies; quarterly business reviews.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5ECD6"/>
            <w:tcBorders>
              <w:start w:val="single" w:sz="22" w:space="0" w:color="C6A15B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Clause insertion is the flywheel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Every loan signed with the Equator ADR clause is a future case routed to Equator. Prioritise getting the clause into partners' standard loan documentation.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Financial &amp; Loan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B3D4B7-C1F1-4AFA-A167-797380BBBCB5}"/>
</file>

<file path=customXml/itemProps3.xml><?xml version="1.0" encoding="utf-8"?>
<ds:datastoreItem xmlns:ds="http://schemas.openxmlformats.org/officeDocument/2006/customXml" ds:itemID="{BDA4C68D-8EBD-421A-BD63-B7D24DD5F31C}"/>
</file>

<file path=customXml/itemProps4.xml><?xml version="1.0" encoding="utf-8"?>
<ds:datastoreItem xmlns:ds="http://schemas.openxmlformats.org/officeDocument/2006/customXml" ds:itemID="{D75CFE96-46CC-408B-B5B7-7268DFA74D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