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Mediation, Conciliation &amp; Settlement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Mediation Council of India — Recognition-Readiness Checklist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Preparing Equator for registration as a mediation service provider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Financial &amp; Loan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Purpose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The </w:t>
      </w:r>
      <w:r>
        <w:rPr>
          <w:rFonts w:ascii="Calibri" w:hAnsi="Calibri"/>
          <w:b/>
          <w:i w:val="0"/>
          <w:color w:val="1B2A32"/>
          <w:sz w:val="21"/>
        </w:rPr>
        <w:t>Mediation Act, 2023</w:t>
      </w:r>
      <w:r>
        <w:rPr>
          <w:rFonts w:ascii="Calibri" w:hAnsi="Calibri"/>
          <w:b w:val="0"/>
          <w:i w:val="0"/>
          <w:color w:val="1B2A32"/>
          <w:sz w:val="21"/>
        </w:rPr>
        <w:t xml:space="preserve"> establishes the </w:t>
      </w:r>
      <w:r>
        <w:rPr>
          <w:rFonts w:ascii="Calibri" w:hAnsi="Calibri"/>
          <w:b/>
          <w:i w:val="0"/>
          <w:color w:val="1B2A32"/>
          <w:sz w:val="21"/>
        </w:rPr>
        <w:t>Mediation Council of India (MCI)</w:t>
      </w:r>
      <w:r>
        <w:rPr>
          <w:rFonts w:ascii="Calibri" w:hAnsi="Calibri"/>
          <w:b w:val="0"/>
          <w:i w:val="0"/>
          <w:color w:val="1B2A32"/>
          <w:sz w:val="21"/>
        </w:rPr>
        <w:t xml:space="preserve"> and provides for the recognition/registration of </w:t>
      </w:r>
      <w:r>
        <w:rPr>
          <w:rFonts w:ascii="Calibri" w:hAnsi="Calibri"/>
          <w:b/>
          <w:i w:val="0"/>
          <w:color w:val="1B2A32"/>
          <w:sz w:val="21"/>
        </w:rPr>
        <w:t>mediation service providers (MSPs)</w:t>
      </w:r>
      <w:r>
        <w:rPr>
          <w:rFonts w:ascii="Calibri" w:hAnsi="Calibri"/>
          <w:b w:val="0"/>
          <w:i w:val="0"/>
          <w:color w:val="1B2A32"/>
          <w:sz w:val="21"/>
        </w:rPr>
        <w:t xml:space="preserve"> and the grading of mediators and MSPs. This checklist prepares Equator to meet those standards for its financial vertical. Confirm the current MCI rules and regulations as notified; several are still being operationalised </w:t>
      </w:r>
      <w:r>
        <w:rPr>
          <w:rFonts w:ascii="Calibri" w:hAnsi="Calibri"/>
          <w:b/>
          <w:i w:val="0"/>
          <w:color w:val="1B2A32"/>
          <w:sz w:val="21"/>
        </w:rPr>
        <w:t>[verify]</w:t>
      </w:r>
      <w:r>
        <w:rPr>
          <w:rFonts w:ascii="Calibri" w:hAnsi="Calibri"/>
          <w:b w:val="0"/>
          <w:i w:val="0"/>
          <w:color w:val="1B2A32"/>
          <w:sz w:val="21"/>
        </w:rPr>
        <w:t>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Readiness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57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331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Requirement (indicative)</w:t>
            </w:r>
          </w:p>
        </w:tc>
        <w:tc>
          <w:tcPr>
            <w:tcW w:type="dxa" w:w="432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Evidence Equator will hold</w:t>
            </w:r>
          </w:p>
        </w:tc>
        <w:tc>
          <w:tcPr>
            <w:tcW w:type="dxa" w:w="129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Constitution &amp; governance of the MSP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Incorporation, governing board, conflict &amp; governance policy</w:t>
            </w:r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57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</w:t>
            </w:r>
          </w:p>
        </w:tc>
        <w:tc>
          <w:tcPr>
            <w:tcW w:type="dxa" w:w="331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Published mediation/conciliation rules</w:t>
            </w:r>
          </w:p>
        </w:tc>
        <w:tc>
          <w:tcPr>
            <w:tcW w:type="dxa" w:w="4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Rules of Loan &amp; Financial Dispute Resolution</w:t>
            </w:r>
          </w:p>
        </w:tc>
        <w:tc>
          <w:tcPr>
            <w:tcW w:type="dxa" w:w="1296"/>
            <w:shd w:val="clear" w:fill="F3F7F9"/>
          </w:tcPr>
          <w:p>
            <w:r/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3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Panel of qualified/graded mediators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Empanelment norms + rubric + signed Code of Conduct</w:t>
            </w:r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57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4</w:t>
            </w:r>
          </w:p>
        </w:tc>
        <w:tc>
          <w:tcPr>
            <w:tcW w:type="dxa" w:w="331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Mediator training &amp; certification</w:t>
            </w:r>
          </w:p>
        </w:tc>
        <w:tc>
          <w:tcPr>
            <w:tcW w:type="dxa" w:w="4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Training records; MCI-recognised certification where required</w:t>
            </w:r>
          </w:p>
        </w:tc>
        <w:tc>
          <w:tcPr>
            <w:tcW w:type="dxa" w:w="1296"/>
            <w:shd w:val="clear" w:fill="F3F7F9"/>
          </w:tcPr>
          <w:p>
            <w:r/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5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Case-management infrastructure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Platform, case register, audit trail, SLAs</w:t>
            </w:r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57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6</w:t>
            </w:r>
          </w:p>
        </w:tc>
        <w:tc>
          <w:tcPr>
            <w:tcW w:type="dxa" w:w="331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Confidentiality &amp; data protection</w:t>
            </w:r>
          </w:p>
        </w:tc>
        <w:tc>
          <w:tcPr>
            <w:tcW w:type="dxa" w:w="4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DPDP compliance, DPIA, security controls</w:t>
            </w:r>
          </w:p>
        </w:tc>
        <w:tc>
          <w:tcPr>
            <w:tcW w:type="dxa" w:w="1296"/>
            <w:shd w:val="clear" w:fill="F3F7F9"/>
          </w:tcPr>
          <w:p>
            <w:r/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7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Settlement (MSA) handling &amp; registration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MSA template (F-L12), registration &amp; enforcement workflow (s.20/s.27)</w:t>
            </w:r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57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8</w:t>
            </w:r>
          </w:p>
        </w:tc>
        <w:tc>
          <w:tcPr>
            <w:tcW w:type="dxa" w:w="331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Fee transparency</w:t>
            </w:r>
          </w:p>
        </w:tc>
        <w:tc>
          <w:tcPr>
            <w:tcW w:type="dxa" w:w="4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Published Schedule of Fees (Tariff)</w:t>
            </w:r>
          </w:p>
        </w:tc>
        <w:tc>
          <w:tcPr>
            <w:tcW w:type="dxa" w:w="1296"/>
            <w:shd w:val="clear" w:fill="F3F7F9"/>
          </w:tcPr>
          <w:p>
            <w:r/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9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Grievance &amp; quality mechanism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Complaints procedure; quality &amp; feedback loop</w:t>
            </w:r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57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10</w:t>
            </w:r>
          </w:p>
        </w:tc>
        <w:tc>
          <w:tcPr>
            <w:tcW w:type="dxa" w:w="331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Ethics &amp; disciplinary framework</w:t>
            </w:r>
          </w:p>
        </w:tc>
        <w:tc>
          <w:tcPr>
            <w:tcW w:type="dxa" w:w="4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Code of Conduct; challenge &amp; removal process</w:t>
            </w:r>
          </w:p>
        </w:tc>
        <w:tc>
          <w:tcPr>
            <w:tcW w:type="dxa" w:w="1296"/>
            <w:shd w:val="clear" w:fill="F3F7F9"/>
          </w:tcPr>
          <w:p>
            <w:r/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11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Records &amp; reporting to MCI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Periodic returns; anonymised outcome data</w:t>
            </w:r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57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12</w:t>
            </w:r>
          </w:p>
        </w:tc>
        <w:tc>
          <w:tcPr>
            <w:tcW w:type="dxa" w:w="331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Accessibility &amp; vernacular support</w:t>
            </w:r>
          </w:p>
        </w:tc>
        <w:tc>
          <w:tcPr>
            <w:tcW w:type="dxa" w:w="4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Bilingual forms; assisted intake for consumers</w:t>
            </w:r>
          </w:p>
        </w:tc>
        <w:tc>
          <w:tcPr>
            <w:tcW w:type="dxa" w:w="1296"/>
            <w:shd w:val="clear" w:fill="F3F7F9"/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DCEAEF"/>
            <w:tcBorders>
              <w:start w:val="single" w:sz="22" w:space="0" w:color="1E7A8C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Sequencing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Items 1–8 are pre-launch; 9–12 mature over the first operating year. Track them in the Compliance &amp; Security Workbook and review at each Board meeting.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Financial &amp; Loan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9FEDED-B589-4C3B-9199-DBEE3F55CA10}"/>
</file>

<file path=customXml/itemProps3.xml><?xml version="1.0" encoding="utf-8"?>
<ds:datastoreItem xmlns:ds="http://schemas.openxmlformats.org/officeDocument/2006/customXml" ds:itemID="{5F7B7FA9-AFED-4233-B760-42DE5E821B74}"/>
</file>

<file path=customXml/itemProps4.xml><?xml version="1.0" encoding="utf-8"?>
<ds:datastoreItem xmlns:ds="http://schemas.openxmlformats.org/officeDocument/2006/customXml" ds:itemID="{1A3A2BDF-BA97-4ADE-B39E-F1F96872DF9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