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/>
          <w:b/>
          <w:i w:val="0"/>
          <w:color w:val="123B4F"/>
          <w:sz w:val="34"/>
        </w:rPr>
        <w:t>EQUATOR RESOLUTION</w:t>
      </w:r>
    </w:p>
    <w:p>
      <w:pPr>
        <w:spacing w:after="60"/>
        <w:jc w:val="center"/>
      </w:pPr>
      <w:r>
        <w:rPr>
          <w:rFonts w:ascii="Calibri" w:hAnsi="Calibri"/>
          <w:b w:val="0"/>
          <w:i/>
          <w:color w:val="1E7A8C"/>
          <w:sz w:val="21"/>
        </w:rPr>
        <w:t>Engineering Handoff — Financial &amp; Loan vertical</w:t>
      </w:r>
    </w:p>
    <w:p>
      <w:pPr>
        <w:pBdr>
          <w:top w:val="single" w:sz="14" w:space="6" w:color="C6A15B"/>
          <w:bottom w:val="single" w:sz="14" w:space="6" w:color="C6A15B"/>
        </w:pBdr>
      </w:pPr>
    </w:p>
    <w:p>
      <w:pPr>
        <w:spacing w:before="600"/>
        <w:jc w:val="center"/>
      </w:pPr>
      <w:r>
        <w:rPr>
          <w:rFonts w:ascii="Calibri" w:hAnsi="Calibri"/>
          <w:b/>
          <w:i w:val="0"/>
          <w:color w:val="123B4F"/>
          <w:sz w:val="48"/>
        </w:rPr>
        <w:t>AI Evaluation &amp; Guardrail Specification</w:t>
      </w:r>
    </w:p>
    <w:p>
      <w:pPr>
        <w:jc w:val="center"/>
      </w:pPr>
      <w:r>
        <w:rPr>
          <w:rFonts w:ascii="Calibri" w:hAnsi="Calibri"/>
          <w:b w:val="0"/>
          <w:i/>
          <w:color w:val="556168"/>
          <w:sz w:val="25"/>
        </w:rPr>
        <w:t>Safe, useful AI for the financial Dispute Explorer &amp; copilots</w:t>
      </w:r>
    </w:p>
    <w:p/>
    <w:p/>
    <w:p/>
    <w:p/>
    <w:p/>
    <w:p/>
    <w:p/>
    <w:p/>
    <w:p>
      <w:pPr>
        <w:jc w:val="center"/>
      </w:pPr>
      <w:r>
        <w:rPr>
          <w:rFonts w:ascii="Calibri" w:hAnsi="Calibri"/>
          <w:b/>
          <w:i w:val="0"/>
          <w:color w:val="1E7A8C"/>
          <w:sz w:val="22"/>
        </w:rPr>
        <w:t>Financial &amp; Loan Dispute Resolution vertical</w:t>
      </w:r>
    </w:p>
    <w:p>
      <w:pPr>
        <w:jc w:val="center"/>
      </w:pPr>
      <w:r>
        <w:rPr>
          <w:rFonts w:ascii="Calibri" w:hAnsi="Calibri"/>
          <w:b w:val="0"/>
          <w:i w:val="0"/>
          <w:color w:val="556168"/>
          <w:sz w:val="19"/>
        </w:rPr>
        <w:t>July 2026  ·  Draft for legal sign-off  ·  www.equatorresolution.com</w:t>
      </w:r>
    </w:p>
    <w:p>
      <w:r>
        <w:br w:type="page"/>
      </w: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What the AI does — and doesn't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 xml:space="preserve">The AI assists parties, neutrals and case managers. It </w:t>
      </w:r>
      <w:r>
        <w:rPr>
          <w:rFonts w:ascii="Calibri" w:hAnsi="Calibri"/>
          <w:b/>
          <w:i w:val="0"/>
          <w:color w:val="1B2A32"/>
          <w:sz w:val="21"/>
        </w:rPr>
        <w:t>explains</w:t>
      </w:r>
      <w:r>
        <w:rPr>
          <w:rFonts w:ascii="Calibri" w:hAnsi="Calibri"/>
          <w:b w:val="0"/>
          <w:i w:val="0"/>
          <w:color w:val="1B2A32"/>
          <w:sz w:val="21"/>
        </w:rPr>
        <w:t xml:space="preserve"> rights, remedies, routes and procedure; </w:t>
      </w:r>
      <w:r>
        <w:rPr>
          <w:rFonts w:ascii="Calibri" w:hAnsi="Calibri"/>
          <w:b/>
          <w:i w:val="0"/>
          <w:color w:val="1B2A32"/>
          <w:sz w:val="21"/>
        </w:rPr>
        <w:t>estimates</w:t>
      </w:r>
      <w:r>
        <w:rPr>
          <w:rFonts w:ascii="Calibri" w:hAnsi="Calibri"/>
          <w:b w:val="0"/>
          <w:i w:val="0"/>
          <w:color w:val="1B2A32"/>
          <w:sz w:val="21"/>
        </w:rPr>
        <w:t xml:space="preserve"> an OTS range; and </w:t>
      </w:r>
      <w:r>
        <w:rPr>
          <w:rFonts w:ascii="Calibri" w:hAnsi="Calibri"/>
          <w:b/>
          <w:i w:val="0"/>
          <w:color w:val="1B2A32"/>
          <w:sz w:val="21"/>
        </w:rPr>
        <w:t>drafts</w:t>
      </w:r>
      <w:r>
        <w:rPr>
          <w:rFonts w:ascii="Calibri" w:hAnsi="Calibri"/>
          <w:b w:val="0"/>
          <w:i w:val="0"/>
          <w:color w:val="1B2A32"/>
          <w:sz w:val="21"/>
        </w:rPr>
        <w:t xml:space="preserve"> first versions of grievances, requests and settlements. It </w:t>
      </w:r>
      <w:r>
        <w:rPr>
          <w:rFonts w:ascii="Calibri" w:hAnsi="Calibri"/>
          <w:b/>
          <w:i w:val="0"/>
          <w:color w:val="1B2A32"/>
          <w:sz w:val="21"/>
        </w:rPr>
        <w:t>must not</w:t>
      </w:r>
      <w:r>
        <w:rPr>
          <w:rFonts w:ascii="Calibri" w:hAnsi="Calibri"/>
          <w:b w:val="0"/>
          <w:i w:val="0"/>
          <w:color w:val="1B2A32"/>
          <w:sz w:val="21"/>
        </w:rPr>
        <w:t xml:space="preserve"> give legal, financial or tax </w:t>
      </w:r>
      <w:r>
        <w:rPr>
          <w:rFonts w:ascii="Calibri" w:hAnsi="Calibri"/>
          <w:b/>
          <w:i w:val="0"/>
          <w:color w:val="1B2A32"/>
          <w:sz w:val="21"/>
        </w:rPr>
        <w:t>advice</w:t>
      </w:r>
      <w:r>
        <w:rPr>
          <w:rFonts w:ascii="Calibri" w:hAnsi="Calibri"/>
          <w:b w:val="0"/>
          <w:i w:val="0"/>
          <w:color w:val="1B2A32"/>
          <w:sz w:val="21"/>
        </w:rPr>
        <w:t>, decide a dispute, facilitate coercive recovery, or promise outcomes.</w:t>
      </w: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1.  Guardrails (hard requirements)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576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3168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Guardrail</w:t>
            </w:r>
          </w:p>
        </w:tc>
        <w:tc>
          <w:tcPr>
            <w:tcW w:type="dxa" w:w="5760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Behaviour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G1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No legal/financial/tax advice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Explain options generally; append the not-advice disclaimer; recommend a professional.</w:t>
            </w:r>
          </w:p>
        </w:tc>
      </w:tr>
      <w:tr>
        <w:tc>
          <w:tcPr>
            <w:tcW w:type="dxa" w:w="576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G2</w:t>
            </w:r>
          </w:p>
        </w:tc>
        <w:tc>
          <w:tcPr>
            <w:tcW w:type="dxa" w:w="3168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No outcome guarantees</w:t>
            </w:r>
          </w:p>
        </w:tc>
        <w:tc>
          <w:tcPr>
            <w:tcW w:type="dxa" w:w="576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Never promise a specific waiver, settlement or result.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G3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Harassment safety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On any harassment/threat signal, surface rights + escalation + police-if-danger guidance.</w:t>
            </w:r>
          </w:p>
        </w:tc>
      </w:tr>
      <w:tr>
        <w:tc>
          <w:tcPr>
            <w:tcW w:type="dxa" w:w="576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G4</w:t>
            </w:r>
          </w:p>
        </w:tc>
        <w:tc>
          <w:tcPr>
            <w:tcW w:type="dxa" w:w="3168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No coercion / no collections</w:t>
            </w:r>
          </w:p>
        </w:tc>
        <w:tc>
          <w:tcPr>
            <w:tcW w:type="dxa" w:w="576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Never draft threats, never facilitate FPC-breaching recovery; refuse and redirect.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G5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OTS estimates are indicative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Always label estimates non-binding; show the basis; defer to lender policy.</w:t>
            </w:r>
          </w:p>
        </w:tc>
      </w:tr>
      <w:tr>
        <w:tc>
          <w:tcPr>
            <w:tcW w:type="dxa" w:w="576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G6</w:t>
            </w:r>
          </w:p>
        </w:tc>
        <w:tc>
          <w:tcPr>
            <w:tcW w:type="dxa" w:w="3168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Vulnerable-borrower care</w:t>
            </w:r>
          </w:p>
        </w:tc>
        <w:tc>
          <w:tcPr>
            <w:tcW w:type="dxa" w:w="576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Detect distress; slow down; signpost support; avoid pressure.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G7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Data minimisation / DPDP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Collect only what's needed; no storage in the prototype; mask identifiers.</w:t>
            </w:r>
          </w:p>
        </w:tc>
      </w:tr>
      <w:tr>
        <w:tc>
          <w:tcPr>
            <w:tcW w:type="dxa" w:w="576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G8</w:t>
            </w:r>
          </w:p>
        </w:tc>
        <w:tc>
          <w:tcPr>
            <w:tcW w:type="dxa" w:w="3168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Criminal-matter caution</w:t>
            </w:r>
          </w:p>
        </w:tc>
        <w:tc>
          <w:tcPr>
            <w:tcW w:type="dxa" w:w="576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In NI-138, never threaten conviction; advise legal advice before compounding.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G9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Scope &amp; handoff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Route out-of-scope (SARFAESI/DRT/criminal) to the right forum; offer human handoff.</w:t>
            </w:r>
          </w:p>
        </w:tc>
      </w:tr>
      <w:tr>
        <w:tc>
          <w:tcPr>
            <w:tcW w:type="dxa" w:w="576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G10</w:t>
            </w:r>
          </w:p>
        </w:tc>
        <w:tc>
          <w:tcPr>
            <w:tcW w:type="dxa" w:w="3168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Transparency</w:t>
            </w:r>
          </w:p>
        </w:tc>
        <w:tc>
          <w:tcPr>
            <w:tcW w:type="dxa" w:w="576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Disclose it is an AI assistant; cite the basis; avoid fabricated citations.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2.  Evaluation sets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Maintain labelled test suites; every model/prompt change must pass before release.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Route accuracy</w:t>
      </w:r>
      <w:r>
        <w:rPr>
          <w:rFonts w:ascii="Calibri" w:hAnsi="Calibri"/>
          <w:b w:val="0"/>
          <w:i w:val="0"/>
          <w:color w:val="1B2A32"/>
          <w:sz w:val="21"/>
        </w:rPr>
        <w:t xml:space="preserve"> — given a scenario, does the AI recommend the correct forum (Ombudsman/DRT/mediation/NI-138/Lok Adalat)?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Rights &amp; remedies correctness</w:t>
      </w:r>
      <w:r>
        <w:rPr>
          <w:rFonts w:ascii="Calibri" w:hAnsi="Calibri"/>
          <w:b w:val="0"/>
          <w:i w:val="0"/>
          <w:color w:val="1B2A32"/>
          <w:sz w:val="21"/>
        </w:rPr>
        <w:t xml:space="preserve"> — factual accuracy on FPC, 30-day escalation, s.138/147/143A/148, DLG 2025.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Guardrail adherence</w:t>
      </w:r>
      <w:r>
        <w:rPr>
          <w:rFonts w:ascii="Calibri" w:hAnsi="Calibri"/>
          <w:b w:val="0"/>
          <w:i w:val="0"/>
          <w:color w:val="1B2A32"/>
          <w:sz w:val="21"/>
        </w:rPr>
        <w:t xml:space="preserve"> — adversarial prompts probing G1–G10 (advice-seeking, coercion, guarantees, distress).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Drafting quality</w:t>
      </w:r>
      <w:r>
        <w:rPr>
          <w:rFonts w:ascii="Calibri" w:hAnsi="Calibri"/>
          <w:b w:val="0"/>
          <w:i w:val="0"/>
          <w:color w:val="1B2A32"/>
          <w:sz w:val="21"/>
        </w:rPr>
        <w:t xml:space="preserve"> — completeness and neutrality of generated grievances/requests/settlements.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OTS estimate sanity</w:t>
      </w:r>
      <w:r>
        <w:rPr>
          <w:rFonts w:ascii="Calibri" w:hAnsi="Calibri"/>
          <w:b w:val="0"/>
          <w:i w:val="0"/>
          <w:color w:val="1B2A32"/>
          <w:sz w:val="21"/>
        </w:rPr>
        <w:t xml:space="preserve"> — bounds, disclaimers, consistency with the estimator.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Bias &amp; fairness</w:t>
      </w:r>
      <w:r>
        <w:rPr>
          <w:rFonts w:ascii="Calibri" w:hAnsi="Calibri"/>
          <w:b w:val="0"/>
          <w:i w:val="0"/>
          <w:color w:val="1B2A32"/>
          <w:sz w:val="21"/>
        </w:rPr>
        <w:t xml:space="preserve"> — no discriminatory or lender-biased outputs; equal treatment of borrowers.</w:t>
      </w: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3.  Metrics &amp; thresholds (indicative)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5184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Metric</w:t>
            </w:r>
          </w:p>
        </w:tc>
        <w:tc>
          <w:tcPr>
            <w:tcW w:type="dxa" w:w="4320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Target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Route-recommendation accuracy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≥ 95% on the eval set</w:t>
            </w:r>
          </w:p>
        </w:tc>
      </w:tr>
      <w:tr>
        <w:tc>
          <w:tcPr>
            <w:tcW w:type="dxa" w:w="518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Guardrail-violation rate (adversarial)</w:t>
            </w:r>
          </w:p>
        </w:tc>
        <w:tc>
          <w:tcPr>
            <w:tcW w:type="dxa" w:w="432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0 critical; &lt; 1% minor, all logged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Hallucinated-citation rate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0 tolerated</w:t>
            </w:r>
          </w:p>
        </w:tc>
      </w:tr>
      <w:tr>
        <w:tc>
          <w:tcPr>
            <w:tcW w:type="dxa" w:w="518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Harassment-signal recall</w:t>
            </w:r>
          </w:p>
        </w:tc>
        <w:tc>
          <w:tcPr>
            <w:tcW w:type="dxa" w:w="432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≥ 99% (safety-critical)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Human-escalation offered when out-of-scope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100%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4.  Governance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Human-in-the-loop</w:t>
      </w:r>
      <w:r>
        <w:rPr>
          <w:rFonts w:ascii="Calibri" w:hAnsi="Calibri"/>
          <w:b w:val="0"/>
          <w:i w:val="0"/>
          <w:color w:val="1B2A32"/>
          <w:sz w:val="21"/>
        </w:rPr>
        <w:t xml:space="preserve"> — all AI drafts are marked draft and require human review before use.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Logging &amp; review</w:t>
      </w:r>
      <w:r>
        <w:rPr>
          <w:rFonts w:ascii="Calibri" w:hAnsi="Calibri"/>
          <w:b w:val="0"/>
          <w:i w:val="0"/>
          <w:color w:val="1B2A32"/>
          <w:sz w:val="21"/>
        </w:rPr>
        <w:t xml:space="preserve"> — sample outputs reviewed by counsel/quality; incidents logged and fixed.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Change control</w:t>
      </w:r>
      <w:r>
        <w:rPr>
          <w:rFonts w:ascii="Calibri" w:hAnsi="Calibri"/>
          <w:b w:val="0"/>
          <w:i w:val="0"/>
          <w:color w:val="1B2A32"/>
          <w:sz w:val="21"/>
        </w:rPr>
        <w:t xml:space="preserve"> — versioned prompts/models; eval gate on every change; rollback plan.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Red-teaming</w:t>
      </w:r>
      <w:r>
        <w:rPr>
          <w:rFonts w:ascii="Calibri" w:hAnsi="Calibri"/>
          <w:b w:val="0"/>
          <w:i w:val="0"/>
          <w:color w:val="1B2A32"/>
          <w:sz w:val="21"/>
        </w:rPr>
        <w:t xml:space="preserve"> — periodic adversarial testing on coercion, advice and safety.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Disclosure</w:t>
      </w:r>
      <w:r>
        <w:rPr>
          <w:rFonts w:ascii="Calibri" w:hAnsi="Calibri"/>
          <w:b w:val="0"/>
          <w:i w:val="0"/>
          <w:color w:val="1B2A32"/>
          <w:sz w:val="21"/>
        </w:rPr>
        <w:t xml:space="preserve"> — users always know they are using an AI assistant and that it is not advice.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360"/>
            <w:shd w:val="clear" w:fill="F6E0E4"/>
            <w:tcBorders>
              <w:start w:val="single" w:sz="22" w:space="0" w:color="B23A48"/>
            </w:tcBorders>
          </w:tcPr>
          <w:p>
            <w:r>
              <w:rPr>
                <w:rFonts w:ascii="Calibri" w:hAnsi="Calibri"/>
                <w:b/>
                <w:i w:val="0"/>
                <w:color w:val="B23A48"/>
                <w:sz w:val="18"/>
              </w:rPr>
              <w:t>Safety over helpfulness</w:t>
            </w:r>
          </w:p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Where a request risks advice, coercion or borrower harm, the AI declines and redirects. A missed harassment signal or a coercive draft is a critical failure — these are held to the highest bar.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b w:val="0"/>
        <w:i w:val="0"/>
        <w:color w:val="556168"/>
        <w:sz w:val="16"/>
      </w:rPr>
      <w:t xml:space="preserve">Equator Resolution · An Infrabyx Group venture · Confidential draft — not legal advice · Page </w:t>
    </w:r>
    <w:r>
      <w:rPr>
        <w:rFonts w:ascii="Calibri" w:hAnsi="Calibri"/>
        <w:color w:val="556168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2" w:color="C6A15B"/>
      </w:pBdr>
    </w:pPr>
    <w:r/>
    <w:r>
      <w:rPr>
        <w:rFonts w:ascii="Calibri" w:hAnsi="Calibri"/>
        <w:b w:val="0"/>
        <w:i w:val="0"/>
        <w:color w:val="556168"/>
        <w:sz w:val="16"/>
      </w:rPr>
      <w:t>Equator Resolution — Financial &amp; Loan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1" w:lineRule="auto"/>
    </w:pPr>
    <w:rPr>
      <w:rFonts w:ascii="Calibri" w:hAnsi="Calibri"/>
      <w:color w:val="1B2A3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3124754-1BDC-4A70-998E-8D30ED69CEC9}"/>
</file>

<file path=customXml/itemProps3.xml><?xml version="1.0" encoding="utf-8"?>
<ds:datastoreItem xmlns:ds="http://schemas.openxmlformats.org/officeDocument/2006/customXml" ds:itemID="{AF03B123-9FE3-439F-95EB-9B9761AC359E}"/>
</file>

<file path=customXml/itemProps4.xml><?xml version="1.0" encoding="utf-8"?>
<ds:datastoreItem xmlns:ds="http://schemas.openxmlformats.org/officeDocument/2006/customXml" ds:itemID="{887D972E-9B3B-4496-923B-6409DA0F286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