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i w:val="0"/>
          <w:color w:val="123B4F"/>
          <w:sz w:val="34"/>
        </w:rPr>
        <w:t>EQUATOR RESOLUTION</w:t>
      </w:r>
    </w:p>
    <w:p>
      <w:pPr>
        <w:spacing w:after="60"/>
        <w:jc w:val="center"/>
      </w:pPr>
      <w:r>
        <w:rPr>
          <w:rFonts w:ascii="Calibri" w:hAnsi="Calibri"/>
          <w:b w:val="0"/>
          <w:i/>
          <w:color w:val="1E7A8C"/>
          <w:sz w:val="21"/>
        </w:rPr>
        <w:t>Engineering Handoff — Financial &amp; Loan vertical</w:t>
      </w:r>
    </w:p>
    <w:p>
      <w:pPr>
        <w:pBdr>
          <w:top w:val="single" w:sz="14" w:space="6" w:color="C6A15B"/>
          <w:bottom w:val="single" w:sz="14" w:space="6" w:color="C6A15B"/>
        </w:pBdr>
      </w:pPr>
    </w:p>
    <w:p>
      <w:pPr>
        <w:spacing w:before="600"/>
        <w:jc w:val="center"/>
      </w:pPr>
      <w:r>
        <w:rPr>
          <w:rFonts w:ascii="Calibri" w:hAnsi="Calibri"/>
          <w:b/>
          <w:i w:val="0"/>
          <w:color w:val="123B4F"/>
          <w:sz w:val="48"/>
        </w:rPr>
        <w:t>Technical Architecture &amp; System Design</w:t>
      </w:r>
    </w:p>
    <w:p>
      <w:pPr>
        <w:jc w:val="center"/>
      </w:pPr>
      <w:r>
        <w:rPr>
          <w:rFonts w:ascii="Calibri" w:hAnsi="Calibri"/>
          <w:b w:val="0"/>
          <w:i/>
          <w:color w:val="556168"/>
          <w:sz w:val="25"/>
        </w:rPr>
        <w:t>Financial &amp; loan dispute platform — services, data, integrations &amp; security</w:t>
      </w:r>
    </w:p>
    <w:p/>
    <w:p/>
    <w:p/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1E7A8C"/>
          <w:sz w:val="22"/>
        </w:rPr>
        <w:t>Financial &amp; Loan Dispute Resolution vertical</w:t>
      </w:r>
    </w:p>
    <w:p>
      <w:pPr>
        <w:jc w:val="center"/>
      </w:pPr>
      <w:r>
        <w:rPr>
          <w:rFonts w:ascii="Calibri" w:hAnsi="Calibri"/>
          <w:b w:val="0"/>
          <w:i w:val="0"/>
          <w:color w:val="556168"/>
          <w:sz w:val="19"/>
        </w:rPr>
        <w:t>July 2026  ·  Draft for legal sign-off  ·  www.equatorresolution.com</w:t>
      </w:r>
    </w:p>
    <w:p>
      <w:r>
        <w:br w:type="page"/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Scope &amp; principles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 xml:space="preserve">This document specifies the architecture for the financial vertical. Principles: </w:t>
      </w:r>
      <w:r>
        <w:rPr>
          <w:rFonts w:ascii="Calibri" w:hAnsi="Calibri"/>
          <w:b/>
          <w:i w:val="0"/>
          <w:color w:val="1B2A32"/>
          <w:sz w:val="21"/>
        </w:rPr>
        <w:t>API-first</w:t>
      </w:r>
      <w:r>
        <w:rPr>
          <w:rFonts w:ascii="Calibri" w:hAnsi="Calibri"/>
          <w:b w:val="0"/>
          <w:i w:val="0"/>
          <w:color w:val="1B2A32"/>
          <w:sz w:val="21"/>
        </w:rPr>
        <w:t xml:space="preserve">, </w:t>
      </w:r>
      <w:r>
        <w:rPr>
          <w:rFonts w:ascii="Calibri" w:hAnsi="Calibri"/>
          <w:b/>
          <w:i w:val="0"/>
          <w:color w:val="1B2A32"/>
          <w:sz w:val="21"/>
        </w:rPr>
        <w:t>secure by design</w:t>
      </w:r>
      <w:r>
        <w:rPr>
          <w:rFonts w:ascii="Calibri" w:hAnsi="Calibri"/>
          <w:b w:val="0"/>
          <w:i w:val="0"/>
          <w:color w:val="1B2A32"/>
          <w:sz w:val="21"/>
        </w:rPr>
        <w:t xml:space="preserve"> (DPDP + financial-data care), </w:t>
      </w:r>
      <w:r>
        <w:rPr>
          <w:rFonts w:ascii="Calibri" w:hAnsi="Calibri"/>
          <w:b/>
          <w:i w:val="0"/>
          <w:color w:val="1B2A32"/>
          <w:sz w:val="21"/>
        </w:rPr>
        <w:t>auditable</w:t>
      </w:r>
      <w:r>
        <w:rPr>
          <w:rFonts w:ascii="Calibri" w:hAnsi="Calibri"/>
          <w:b w:val="0"/>
          <w:i w:val="0"/>
          <w:color w:val="1B2A32"/>
          <w:sz w:val="21"/>
        </w:rPr>
        <w:t xml:space="preserve"> (immutable trail on every case &amp; money event), </w:t>
      </w:r>
      <w:r>
        <w:rPr>
          <w:rFonts w:ascii="Calibri" w:hAnsi="Calibri"/>
          <w:b/>
          <w:i w:val="0"/>
          <w:color w:val="1B2A32"/>
          <w:sz w:val="21"/>
        </w:rPr>
        <w:t>integration-ready</w:t>
      </w:r>
      <w:r>
        <w:rPr>
          <w:rFonts w:ascii="Calibri" w:hAnsi="Calibri"/>
          <w:b w:val="0"/>
          <w:i w:val="0"/>
          <w:color w:val="1B2A32"/>
          <w:sz w:val="21"/>
        </w:rPr>
        <w:t xml:space="preserve"> (escrow, payments, KYC, credit bureau, RBI CMS), and </w:t>
      </w:r>
      <w:r>
        <w:rPr>
          <w:rFonts w:ascii="Calibri" w:hAnsi="Calibri"/>
          <w:b/>
          <w:i w:val="0"/>
          <w:color w:val="1B2A32"/>
          <w:sz w:val="21"/>
        </w:rPr>
        <w:t>ODR-native</w:t>
      </w:r>
      <w:r>
        <w:rPr>
          <w:rFonts w:ascii="Calibri" w:hAnsi="Calibri"/>
          <w:b w:val="0"/>
          <w:i w:val="0"/>
          <w:color w:val="1B2A32"/>
          <w:sz w:val="21"/>
        </w:rPr>
        <w:t xml:space="preserve"> (online intake, video, e-Sign, e-Stamp). It complements the OpenAPI spec (openapi_fl.yaml), the database schema (schema_fl.sql) and the UI wireframe kit.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1.  Logical architecture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A modular services layer behind an API gateway, with a web/mobile client, an AI service, and external integrations. Core services: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3168"/>
        <w:gridCol w:w="3168"/>
      </w:tblGrid>
      <w:tr>
        <w:tc>
          <w:tcPr>
            <w:tcW w:type="dxa" w:w="230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Service</w:t>
            </w:r>
          </w:p>
        </w:tc>
        <w:tc>
          <w:tcPr>
            <w:tcW w:type="dxa" w:w="432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Responsibility</w:t>
            </w:r>
          </w:p>
        </w:tc>
        <w:tc>
          <w:tcPr>
            <w:tcW w:type="dxa" w:w="288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Notes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Identity &amp; KYC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Party auth, KYC/KYB, CKYC, roles/permissions (RBAC)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MFA for staff/neutrals; masking of IDs</w:t>
            </w:r>
          </w:p>
        </w:tc>
      </w:tr>
      <w:tr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Case &amp; workflow</w:t>
            </w:r>
          </w:p>
        </w:tc>
        <w:tc>
          <w:tcPr>
            <w:tcW w:type="dxa" w:w="43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Case lifecycle, states, SLAs, triage routing</w:t>
            </w:r>
          </w:p>
        </w:tc>
        <w:tc>
          <w:tcPr>
            <w:tcW w:type="dxa" w:w="28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State machine per Workflow States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Party &amp; lender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Borrower/lender/guarantor profiles, lender panels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Lender SLA config</w:t>
            </w:r>
          </w:p>
        </w:tc>
      </w:tr>
      <w:tr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Neutral &amp; scheduling</w:t>
            </w:r>
          </w:p>
        </w:tc>
        <w:tc>
          <w:tcPr>
            <w:tcW w:type="dxa" w:w="43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Panel, conflict checks, appointment, calendar</w:t>
            </w:r>
          </w:p>
        </w:tc>
        <w:tc>
          <w:tcPr>
            <w:tcW w:type="dxa" w:w="28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Grade filters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Settlement &amp; OTS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OTS computation, settlement drafting, MSA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OTS estimator service</w:t>
            </w:r>
          </w:p>
        </w:tc>
      </w:tr>
      <w:tr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Escrow &amp; payments</w:t>
            </w:r>
          </w:p>
        </w:tc>
        <w:tc>
          <w:tcPr>
            <w:tcW w:type="dxa" w:w="43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Escrow instructions, milestones, eNACH/UPI/RTGS, receipts</w:t>
            </w:r>
          </w:p>
        </w:tc>
        <w:tc>
          <w:tcPr>
            <w:tcW w:type="dxa" w:w="28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Regulated escrow bank; reconciliation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Documents &amp; e-Sign/e-Stamp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Form rendering, Aadhaar e-Sign, SHCIL e-stamp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Immutable document store</w:t>
            </w:r>
          </w:p>
        </w:tc>
      </w:tr>
      <w:tr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Credit-bureau</w:t>
            </w:r>
          </w:p>
        </w:tc>
        <w:tc>
          <w:tcPr>
            <w:tcW w:type="dxa" w:w="43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Post-settlement correction/update workflow</w:t>
            </w:r>
          </w:p>
        </w:tc>
        <w:tc>
          <w:tcPr>
            <w:tcW w:type="dxa" w:w="28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CIC integration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Grievance &amp; forum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Ombudsman/DRT/Lok Adalat signposting &amp; handoff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RBI CMS reference</w:t>
            </w:r>
          </w:p>
        </w:tc>
      </w:tr>
      <w:tr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AI service</w:t>
            </w:r>
          </w:p>
        </w:tc>
        <w:tc>
          <w:tcPr>
            <w:tcW w:type="dxa" w:w="43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Dispute Explorer, drafting, copilots (guardrailed)</w:t>
            </w:r>
          </w:p>
        </w:tc>
        <w:tc>
          <w:tcPr>
            <w:tcW w:type="dxa" w:w="28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See AI Eval Spec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Notification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Email/SMS/WhatsApp, reminders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Consent-based</w:t>
            </w:r>
          </w:p>
        </w:tc>
      </w:tr>
      <w:tr>
        <w:tc>
          <w:tcPr>
            <w:tcW w:type="dxa" w:w="230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Audit &amp; reporting</w:t>
            </w:r>
          </w:p>
        </w:tc>
        <w:tc>
          <w:tcPr>
            <w:tcW w:type="dxa" w:w="432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Immutable audit log, MIS, MCI returns</w:t>
            </w:r>
          </w:p>
        </w:tc>
        <w:tc>
          <w:tcPr>
            <w:tcW w:type="dxa" w:w="288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6"/>
              </w:rPr>
              <w:t>Tamper-evident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2.  Key integrations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Escrow bank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account opening, holds, milestone releases, reconciliation (regulated agent).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Payments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eNACH mandates, UPI/IMPS/RTGS collections, refunds.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KYC/CKYC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identity verification; Aadhaar e-KYC/offline XML where lawful.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e-Sign / e-Stamp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Aadhaar e-Sign (IT Act s.3A) / DSC; SHCIL e-stamp per state.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Credit bureaus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CIBIL/CRIF/Experian/Equifax update &amp; dispute APIs.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RBI CMS / Ombudsman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reference &amp; signposting; complaint-status linkage where available [verify].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Lender systems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LMS/collections for batch referral &amp; status write-back.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3.  Data &amp; security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Encryption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TLS 1.2+ in transit; AES-256 at rest; field-level masking of account numbers &amp; IDs.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Access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RBAC; per-party confidentiality walls; sealed neutral session notes.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Audit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immutable, tamper-evident log of every access, case action and money event.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DPDP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consent capture, purpose limitation, minimisation, retention schedule, breach runbook; DPIA maintained.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Resilience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encrypted backups; tested restore; documented RPO/RTO; DR drills.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B2A32"/>
          <w:sz w:val="21"/>
        </w:rPr>
        <w:t>AppSec</w:t>
      </w:r>
      <w:r>
        <w:rPr>
          <w:rFonts w:ascii="Calibri" w:hAnsi="Calibri"/>
          <w:b w:val="0"/>
          <w:i w:val="0"/>
          <w:color w:val="1B2A32"/>
          <w:sz w:val="21"/>
        </w:rPr>
        <w:t xml:space="preserve"> — SAST/DAST, dependency scanning, pen-tests, patch SLAs; secrets management.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4.  Environments &amp; delivery</w:t>
      </w:r>
    </w:p>
    <w:p>
      <w:pPr>
        <w:spacing w:after="120"/>
        <w:jc w:val="both"/>
      </w:pPr>
      <w:r>
        <w:rPr>
          <w:rFonts w:ascii="Calibri" w:hAnsi="Calibri"/>
          <w:b w:val="0"/>
          <w:i w:val="0"/>
          <w:color w:val="1B2A32"/>
          <w:sz w:val="21"/>
        </w:rPr>
        <w:t>Separate dev / staging / production; infrastructure-as-code; CI/CD with automated tests and security gates; observability (logs, metrics, traces); data residency in India as applicable. A staged rollout: internal → pilot lender → general availability.</w:t>
      </w:r>
    </w:p>
    <w:p>
      <w:pPr>
        <w:keepNext/>
        <w:spacing w:before="280" w:after="12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2"/>
        </w:rPr>
        <w:t>5.  Non-functional targets (indicative)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3744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Attribute</w:t>
            </w:r>
          </w:p>
        </w:tc>
        <w:tc>
          <w:tcPr>
            <w:tcW w:type="dxa" w:w="5760"/>
            <w:shd w:val="clear" w:fill="123B4F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Target [confirm]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Availability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99.9% core services</w:t>
            </w:r>
          </w:p>
        </w:tc>
      </w:tr>
      <w:tr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p95 API latency</w:t>
            </w:r>
          </w:p>
        </w:tc>
        <w:tc>
          <w:tcPr>
            <w:tcW w:type="dxa" w:w="57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&lt; 500 ms (non-AI)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RPO / RTO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≤ 1 hr / ≤ 4 hr</w:t>
            </w:r>
          </w:p>
        </w:tc>
      </w:tr>
      <w:tr>
        <w:tc>
          <w:tcPr>
            <w:tcW w:type="dxa" w:w="3744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Audit retention</w:t>
            </w:r>
          </w:p>
        </w:tc>
        <w:tc>
          <w:tcPr>
            <w:tcW w:type="dxa" w:w="5760"/>
            <w:shd w:val="clear" w:fill="F3F7F9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Per DPDP + statutory</w:t>
            </w:r>
          </w:p>
        </w:tc>
      </w:tr>
      <w:tr>
        <w:tc>
          <w:tcPr>
            <w:tcW w:type="dxa" w:w="3744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Concurrent hearings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Scales horizontally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b w:val="0"/>
        <w:i w:val="0"/>
        <w:color w:val="556168"/>
        <w:sz w:val="16"/>
      </w:rPr>
      <w:t xml:space="preserve">Equator Resolution · An Infrabyx Group venture · Confidential draft — not legal advice · Page </w:t>
    </w:r>
    <w:r>
      <w:rPr>
        <w:rFonts w:ascii="Calibri" w:hAnsi="Calibri"/>
        <w:color w:val="55616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— Financial &amp; Loan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1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FACEE9E-2B3E-4845-B2CD-81FF2E64F646}"/>
</file>

<file path=customXml/itemProps3.xml><?xml version="1.0" encoding="utf-8"?>
<ds:datastoreItem xmlns:ds="http://schemas.openxmlformats.org/officeDocument/2006/customXml" ds:itemID="{58C3314B-0428-48E7-9600-3FC686BE7E74}"/>
</file>

<file path=customXml/itemProps4.xml><?xml version="1.0" encoding="utf-8"?>
<ds:datastoreItem xmlns:ds="http://schemas.openxmlformats.org/officeDocument/2006/customXml" ds:itemID="{ED57B985-5E17-4A3B-981A-9BE7F671DC2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