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Conciliator Training Curriculum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The Equator Certified Financial Conciliator (ECFC) — syllabus, assessment and CPD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Purpose &amp; standard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</w:t>
      </w:r>
      <w:r>
        <w:rPr>
          <w:rFonts w:ascii="Calibri" w:hAnsi="Calibri"/>
          <w:b/>
          <w:i w:val="0"/>
          <w:color w:val="1B2A32"/>
          <w:sz w:val="21"/>
        </w:rPr>
        <w:t>Equator Certified Financial Conciliator (ECFC)</w:t>
      </w:r>
      <w:r>
        <w:rPr>
          <w:rFonts w:ascii="Calibri" w:hAnsi="Calibri"/>
          <w:b w:val="0"/>
          <w:i w:val="0"/>
          <w:color w:val="1B2A32"/>
          <w:sz w:val="21"/>
        </w:rPr>
        <w:t xml:space="preserve"> programme trains neutrals to settle borrower–lender disputes fairly and at volume. The distinctive competence is not legal — it is holding a genuinely voluntary process where one party is a regulated institution with professional negotiators and the other is often a frightened individual under financial pressure.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The failure mode this programme guards against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 conciliator who becomes, in effect, the lender's collection agent — polite, efficient, and quietly extracting a settlement the borrower cannot afford. Every module is built to make that harder.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Structure &amp;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331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Hours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Foundation (M1–3)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Live / online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Regulatory framework and routes</w:t>
            </w:r>
          </w:p>
        </w:tc>
      </w:tr>
      <w:tr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Core conciliation (M4–6)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24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 + role-play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Settlement skill under power imbalance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Product &amp; computation (M7–9)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OTS, NI-138, digital lending, credit reporting</w:t>
            </w:r>
          </w:p>
        </w:tc>
      </w:tr>
      <w:tr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Conduct &amp; protection (M10)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Harassment, vulnerability, FPC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Assessment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Simulation + written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Certification decision</w:t>
            </w:r>
          </w:p>
        </w:tc>
      </w:tr>
      <w:tr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Supervised practice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5 matters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Live, supervised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Grade confirmation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Total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82 hours + supervised practice</w:t>
            </w:r>
          </w:p>
        </w:tc>
        <w:tc>
          <w:tcPr>
            <w:tcW w:type="dxa" w:w="2304"/>
          </w:tcPr>
          <w:p>
            <w:r/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ECFC certificate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Syllabus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1 — Foundation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M1 · The framework.</w:t>
      </w:r>
      <w:r>
        <w:rPr>
          <w:rFonts w:ascii="Calibri" w:hAnsi="Calibri"/>
          <w:b w:val="0"/>
          <w:i w:val="0"/>
          <w:color w:val="1B2A32"/>
          <w:sz w:val="21"/>
        </w:rPr>
        <w:t xml:space="preserve"> Mediation Act, 2023 (ss.20, 22, 27); the RBI Integrated Ombudsman Scheme, 2021; consumer law; Lok Adalat.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M2 · Routes and their limits.</w:t>
      </w:r>
      <w:r>
        <w:rPr>
          <w:rFonts w:ascii="Calibri" w:hAnsi="Calibri"/>
          <w:b w:val="0"/>
          <w:i w:val="0"/>
          <w:color w:val="1B2A32"/>
          <w:sz w:val="21"/>
        </w:rPr>
        <w:t xml:space="preserve"> SARFAESI and the DRT as non-mediable enforcement; when to signpost rather than absorb; the parallel-settlement principle.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M3 · Institutional practice &amp; ethics.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Equator Rules; the prohibition on acting as a recovery agent; disclosure and conflicts.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2 — Core conciliation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M4 · Conciliation practice.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Opening, joint and caucus sessions, working with a lender's authorised officer.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M5 · Power imbalance and voluntariness.</w:t>
      </w:r>
      <w:r>
        <w:rPr>
          <w:rFonts w:ascii="Calibri" w:hAnsi="Calibri"/>
          <w:b w:val="0"/>
          <w:i w:val="0"/>
          <w:color w:val="1B2A32"/>
          <w:sz w:val="21"/>
        </w:rPr>
        <w:t xml:space="preserve"> Recognising financial coercion; affordability as a precondition; slowing a process down; when to terminate.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M6 · Impasse and structure.</w:t>
      </w:r>
      <w:r>
        <w:rPr>
          <w:rFonts w:ascii="Calibri" w:hAnsi="Calibri"/>
          <w:b w:val="0"/>
          <w:i w:val="0"/>
          <w:color w:val="1B2A32"/>
          <w:sz w:val="21"/>
        </w:rPr>
        <w:t xml:space="preserve"> Instalments, escrow milestones, part-waiver, and what a lender's board-approved policy can and cannot do.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3 — Product &amp; computation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M7 · One-time settlement.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RBI compromise-settlement framework (RBI/2023-24/40, 8 June 2023); computing dues; the sacrifice; the 12-month cooling floor; accurate credit reporting.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M8 · Cheque bounce.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NI Act ss.138, 147, 143A and 148; the *Damodar Prabhu* graded costs; compounding practice; Lok Adalat recording.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M9 · Digital lending &amp; charges.</w:t>
      </w:r>
      <w:r>
        <w:rPr>
          <w:rFonts w:ascii="Calibri" w:hAnsi="Calibri"/>
          <w:b w:val="0"/>
          <w:i w:val="0"/>
          <w:color w:val="1B2A32"/>
          <w:sz w:val="21"/>
        </w:rPr>
        <w:t xml:space="preserve"> RBI (Digital Lending) Directions, 8 May 2025 — KFS, APR, cooling-off, FLDG cap; wrong-charge and mis-selling analysis; credit-bureau correction.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4 — Conduct &amp; protection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M10 · Recovery conduct and vulnerability.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RBI Fair Practices Code; recognising harassment and its escalation; safety signposting; handling distressed and over-indebted borrowers.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17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Weight</w:t>
            </w:r>
          </w:p>
        </w:tc>
        <w:tc>
          <w:tcPr>
            <w:tcW w:type="dxa" w:w="4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Pass standard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Conciliation simulation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30%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Impartiality; no coercion; voluntariness preserved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Voluntariness &amp; affordability exercise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20%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Must pass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identifies an unaffordable settlement and acts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OTS computation &amp; structuring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Accurate; within policy; correctly reported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Written paper (framework &amp; routes)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20%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60%; no fail on the non-mediable boundary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Conduct scenario (harassment)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Correct escalation and safety response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CPD &amp; recertification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47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Annual minimum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Total CPD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16 hours</w:t>
            </w:r>
          </w:p>
        </w:tc>
      </w:tr>
      <w:tr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 of which RBI circular update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 hours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 of which conduct &amp; vulnerability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 hours</w:t>
            </w:r>
          </w:p>
        </w:tc>
      </w:tr>
      <w:tr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Case audit participation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As requested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Recertification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Every 2 years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0E4DD3-C1D2-40EB-B972-F42FFC1F6A7A}"/>
</file>

<file path=customXml/itemProps3.xml><?xml version="1.0" encoding="utf-8"?>
<ds:datastoreItem xmlns:ds="http://schemas.openxmlformats.org/officeDocument/2006/customXml" ds:itemID="{022C4384-4480-497E-BCD0-D0A337CBC479}"/>
</file>

<file path=customXml/itemProps4.xml><?xml version="1.0" encoding="utf-8"?>
<ds:datastoreItem xmlns:ds="http://schemas.openxmlformats.org/officeDocument/2006/customXml" ds:itemID="{BA341E8B-2DD6-4E56-9F05-875D643459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