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Onboarding, KYC &amp; Data-Protection Consent (Insurance)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Create your account, verify identity, and record your consent under the DPDP Act, 2023.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PARTY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Full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Role (Policyholder / Claimant / Nominee / Legal heir / Insurer / Intermediary)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number (if allotted)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 / company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 / Aadhaar (masked — last 4 digits only)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District &amp; State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YOUR ROLE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 am the: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Policyholder (the insured)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Claimant / beneficiary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Nominee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Legal heir / assignee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 / TPA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Agent / broker / intermediary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Group policy master policyholder (employer / bank)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Authorised representative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IDENTITY VERIFICATION (KYC)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Identity is verified by Aadhaar-based e-KYC / OTP, or by upload of a government photo ID with a liveness check. Corporate parties upload a board authority or letter of authority. Nominees and legal heirs additionally upload proof of relationship or a succession document.</w:t>
      </w: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Verification method: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Aadhaar e-KYC / OTP completed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Government photo ID uploaded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Corporate authority letter uploaded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Proof of nomination / heirship uploaded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Video verification (NRI) completed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DATA-PROTECTION NOTICE &amp; CONSENT (DPDP Act, 2023)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Purpose:</w:t>
      </w:r>
      <w:r>
        <w:rPr>
          <w:rFonts w:ascii="Calibri" w:hAnsi="Calibri"/>
          <w:b/>
          <w:i w:val="0"/>
          <w:color w:val="1B2A32"/>
          <w:sz w:val="19"/>
        </w:rPr>
        <w:t xml:space="preserve"> your personal data is processed solely to administer this insurance dispute — case management, communication with the insurer and any intermediary, neutral matching, drafting of a settlement, escrow or payment of any settled amount, and statutory compliance. </w:t>
      </w:r>
      <w:r>
        <w:rPr>
          <w:rFonts w:ascii="Calibri" w:hAnsi="Calibri"/>
          <w:b/>
          <w:i w:val="0"/>
          <w:color w:val="1B2A32"/>
          <w:sz w:val="19"/>
        </w:rPr>
        <w:t>Data categories:</w:t>
      </w:r>
      <w:r>
        <w:rPr>
          <w:rFonts w:ascii="Calibri" w:hAnsi="Calibri"/>
          <w:b/>
          <w:i w:val="0"/>
          <w:color w:val="1B2A32"/>
          <w:sz w:val="19"/>
        </w:rPr>
        <w:t xml:space="preserve"> identity and contact details, policy and claim data, financial details, and — where the claim is a health or life claim — </w:t>
      </w:r>
      <w:r>
        <w:rPr>
          <w:rFonts w:ascii="Calibri" w:hAnsi="Calibri"/>
          <w:b/>
          <w:i w:val="0"/>
          <w:color w:val="1B2A32"/>
          <w:sz w:val="19"/>
        </w:rPr>
        <w:t>health data</w:t>
      </w:r>
      <w:r>
        <w:rPr>
          <w:rFonts w:ascii="Calibri" w:hAnsi="Calibri"/>
          <w:b/>
          <w:i w:val="0"/>
          <w:color w:val="1B2A32"/>
          <w:sz w:val="19"/>
        </w:rPr>
        <w:t xml:space="preserve">, which is treated as sensitive and is access-controlled on a strict need-to-know basis. </w:t>
      </w:r>
      <w:r>
        <w:rPr>
          <w:rFonts w:ascii="Calibri" w:hAnsi="Calibri"/>
          <w:b/>
          <w:i w:val="0"/>
          <w:color w:val="1B2A32"/>
          <w:sz w:val="19"/>
        </w:rPr>
        <w:t>Retention:</w:t>
      </w:r>
      <w:r>
        <w:rPr>
          <w:rFonts w:ascii="Calibri" w:hAnsi="Calibri"/>
          <w:b/>
          <w:i w:val="0"/>
          <w:color w:val="1B2A32"/>
          <w:sz w:val="19"/>
        </w:rPr>
        <w:t xml:space="preserve"> only for as long as the purpose and law require, then securely erased. </w:t>
      </w:r>
      <w:r>
        <w:rPr>
          <w:rFonts w:ascii="Calibri" w:hAnsi="Calibri"/>
          <w:b/>
          <w:i w:val="0"/>
          <w:color w:val="1B2A32"/>
          <w:sz w:val="19"/>
        </w:rPr>
        <w:t>Your rights:</w:t>
      </w:r>
      <w:r>
        <w:rPr>
          <w:rFonts w:ascii="Calibri" w:hAnsi="Calibri"/>
          <w:b/>
          <w:i w:val="0"/>
          <w:color w:val="1B2A32"/>
          <w:sz w:val="19"/>
        </w:rPr>
        <w:t xml:space="preserve"> access, correction, erasure, withdrawal of consent, nomination and grievance redress.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give my </w:t>
      </w:r>
      <w:r>
        <w:rPr>
          <w:rFonts w:ascii="Calibri" w:hAnsi="Calibri"/>
          <w:b/>
          <w:i w:val="0"/>
          <w:color w:val="1B2A32"/>
          <w:sz w:val="18"/>
        </w:rPr>
        <w:t>free, specific, informed and withdrawable consent</w:t>
      </w:r>
      <w:r>
        <w:rPr>
          <w:rFonts w:ascii="Calibri" w:hAnsi="Calibri"/>
          <w:b w:val="0"/>
          <w:i w:val="0"/>
          <w:color w:val="1B2A32"/>
          <w:sz w:val="18"/>
        </w:rPr>
        <w:t xml:space="preserve"> to Equator Resolution processing my personal data, </w:t>
      </w:r>
      <w:r>
        <w:rPr>
          <w:rFonts w:ascii="Calibri" w:hAnsi="Calibri"/>
          <w:b/>
          <w:i w:val="0"/>
          <w:color w:val="1B2A32"/>
          <w:sz w:val="18"/>
        </w:rPr>
        <w:t>including health data where the claim requires it</w:t>
      </w:r>
      <w:r>
        <w:rPr>
          <w:rFonts w:ascii="Calibri" w:hAnsi="Calibri"/>
          <w:b w:val="0"/>
          <w:i w:val="0"/>
          <w:color w:val="1B2A32"/>
          <w:sz w:val="18"/>
        </w:rPr>
        <w:t>, for the stated purposes.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authorise Equator to seek and receive the claim file, survey report and medical records from the insurer, TPA, hospital or surveyor </w:t>
      </w:r>
      <w:r>
        <w:rPr>
          <w:rFonts w:ascii="Calibri" w:hAnsi="Calibri"/>
          <w:b/>
          <w:i w:val="0"/>
          <w:color w:val="1B2A32"/>
          <w:sz w:val="18"/>
        </w:rPr>
        <w:t>for this dispute only</w:t>
      </w:r>
      <w:r>
        <w:rPr>
          <w:rFonts w:ascii="Calibri" w:hAnsi="Calibri"/>
          <w:b w:val="0"/>
          <w:i w:val="0"/>
          <w:color w:val="1B2A32"/>
          <w:sz w:val="18"/>
        </w:rPr>
        <w:t>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Where any information relates to a deceased life assured or a minor, I confirm I am the lawful nominee, heir or guardian entitled to act.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and correct to the best of my knowledge.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 / Data Protection Officer: grievance@equatorresolution.com. Equator Resolution acts as a Data Fiduciary under the DPDP Act, 2023. Health data is stored encrypted and is visible only to the case manager and the neutral assigned to the matter.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F-I01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EA70CA-7DD5-4D2F-9063-53B193C43CB3}"/>
</file>

<file path=customXml/itemProps3.xml><?xml version="1.0" encoding="utf-8"?>
<ds:datastoreItem xmlns:ds="http://schemas.openxmlformats.org/officeDocument/2006/customXml" ds:itemID="{02DB0B73-7599-4F72-9ECD-9B71E433C8C4}"/>
</file>

<file path=customXml/itemProps4.xml><?xml version="1.0" encoding="utf-8"?>
<ds:datastoreItem xmlns:ds="http://schemas.openxmlformats.org/officeDocument/2006/customXml" ds:itemID="{70D2217A-C165-4809-8199-E7DB99DB87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