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F-I05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Claim Repudiation / Short-Settlement Particulars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A structured record of exactly what was rejected, on what ground, and what the policy actually says.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insurer's letter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THE DECISION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insurer has: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Repudiated the claim in full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Settled in part (short settlement)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Denied cashless but kept reimbursement open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Kept the claim pending / 'under investigation'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Closed the claim for want of documents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communicated any decision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claimed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allowed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disallowed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Was a reason given in writing?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Clause of the policy relied 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GROUND-BY-GROUND ANALYSIS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58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54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Ground relied on by the insurer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Policy clause cited</w:t>
            </w:r>
          </w:p>
        </w:tc>
        <w:tc>
          <w:tcPr>
            <w:tcW w:type="dxa" w:w="293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Policyholder's answer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 that proves it</w:t>
            </w:r>
          </w:p>
        </w:tc>
      </w:tr>
      <w:tr>
        <w:tc>
          <w:tcPr>
            <w:tcW w:type="dxa" w:w="58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8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58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8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58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8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58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8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THE FOUR TESTS APPLIED IN INSURANCE DISPUTES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3264"/>
        <w:gridCol w:w="3264"/>
        <w:gridCol w:w="3264"/>
      </w:tblGrid>
      <w:tr>
        <w:tc>
          <w:tcPr>
            <w:tcW w:type="dxa" w:w="254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</w:t>
            </w:r>
          </w:p>
        </w:tc>
        <w:tc>
          <w:tcPr>
            <w:tcW w:type="dxa" w:w="430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293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430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430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430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430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430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The four tests routinely applied are: (1)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materiality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was the undisclosed fact material to the risk, judged at the time of the proposal; (2)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proximate cause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was the dominant, effective cause of the loss a covered peril; (3)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contra proferentem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an ambiguity in a policy drafted by the insurer is read against the insurer; and (4)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fair dealing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was the exclusion disclosed, explained and legible at the point of sale. For life policies, section 45 of the Insurance Act, 1938 restricts an insurer from calling a policy in question after the statutory period except on the grounds and in the manner the section permits — check the date of commencement or revival before conceding a non-disclosure ground.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DELAY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claim documents completed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decision / payment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Days elapsed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Interest claimed for delay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Prepared by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F-I05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B0509E-2D82-4997-9F6B-D0BDDB16805F}"/>
</file>

<file path=customXml/itemProps3.xml><?xml version="1.0" encoding="utf-8"?>
<ds:datastoreItem xmlns:ds="http://schemas.openxmlformats.org/officeDocument/2006/customXml" ds:itemID="{89D3E626-AF8B-4F9F-8039-B683E7A3A7FA}"/>
</file>

<file path=customXml/itemProps4.xml><?xml version="1.0" encoding="utf-8"?>
<ds:datastoreItem xmlns:ds="http://schemas.openxmlformats.org/officeDocument/2006/customXml" ds:itemID="{37F853A7-18EA-47F4-9327-A1C323AFDB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