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Health Insurance Claim Dispute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Line-by-line schedule for a health, personal-accident or critical-illness claim dispute.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 / TPA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inception date (first ever, if ported)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Continuously renewed since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 insured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Cumulative bonus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Room-rent limit per policy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Co-pay %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Sub-limits applicable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THE HOSPITALISATION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Hospital &amp; city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Network or non-network?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admission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discharge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Diagnosis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Procedure performed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it planned or an emergency?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Room category taken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Room rent per day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THE BILL AND THE DEDUCTIONS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49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Head of charge</w:t>
            </w:r>
          </w:p>
        </w:tc>
        <w:tc>
          <w:tcPr>
            <w:tcW w:type="dxa" w:w="107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Billed (₹)</w:t>
            </w:r>
          </w:p>
        </w:tc>
        <w:tc>
          <w:tcPr>
            <w:tcW w:type="dxa" w:w="107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Allowed (₹)</w:t>
            </w:r>
          </w:p>
        </w:tc>
        <w:tc>
          <w:tcPr>
            <w:tcW w:type="dxa" w:w="107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Deducted (₹)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 given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Policyholder's answer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billed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allowed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deducted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THE COMMON DEDUCTION GROUNDS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Deductions applied: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Room-rent capping with proportionate deduction of associated charges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Co-payment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Disease-wise sub-limit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Non-medical / consumable items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Pre-existing disease (PED) waiting period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Specific-illness waiting period (e.g. 24 months)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Initial 30-day waiting period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Maternity waiting period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Day-care not covered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medically necessary / could have been OPD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Treatment not covered / experimental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Pre- and post-hospitalisation outside the window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Domiciliary conditions not met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Package rate applied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Reasonable-and-customary-charges clause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PED AND NON-DISCLOSURE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Condition alleged to be pre-existing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Alleged first diagnosed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Evidence the insurer relies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it disclosed in the proposal form?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Months of continuous cover completed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PED waiting period in the policy (months)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If ported — credit for prior years claimed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Where cover has been continuous, check whether the PED waiting period was already complete at the date of admission; where the policy was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ported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, continuity credit for waiting periods ordinarily carries over. Check also whether the condition was in fact disclosed in the proposal form, and whether it was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material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to the risk actually assumed. Health claims account for the largest single share of insurance grievances in India. [verify — current share]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E.  CASHLESS DENIAL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and time cashless requested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and time denied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Reason for denial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reimbursement filed instead?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Prepared by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F-I09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185AC5-0950-480E-B635-92DBDC33676E}"/>
</file>

<file path=customXml/itemProps3.xml><?xml version="1.0" encoding="utf-8"?>
<ds:datastoreItem xmlns:ds="http://schemas.openxmlformats.org/officeDocument/2006/customXml" ds:itemID="{79360F7D-B63E-4980-9EDE-3AD027C30155}"/>
</file>

<file path=customXml/itemProps4.xml><?xml version="1.0" encoding="utf-8"?>
<ds:datastoreItem xmlns:ds="http://schemas.openxmlformats.org/officeDocument/2006/customXml" ds:itemID="{A6EFCA71-5D99-4CD3-9C6B-E808EEA600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