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Motor Insurance Claim Dispute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own-damage, total-loss, theft, salvage and third-party motor disputes.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Vehicle make / model / year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IDV in the policy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Compulsory / voluntary excess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Add-ons purchased (zero-dep, engine, return-to-invoice)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THE INCIDENT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Accident — own damage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Theft of vehicle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Theft of parts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Flood / natural calamity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Riot / malicious damage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Total loss / constructive total loss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Third-party injury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Third-party death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Third-party property damage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time of loss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Place of loss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intimated to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FIR number &amp; police station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Driver's name &amp; licence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Licence valid for the class of vehicle?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Permit / fitness / PUC valid?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ASSESSMENT AND DEDUCTIONS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</w:t>
            </w:r>
          </w:p>
        </w:tc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Claimed (₹)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Surveyor's assessment (₹)</w:t>
            </w:r>
          </w:p>
        </w:tc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Paid (₹)</w:t>
            </w:r>
          </w:p>
        </w:tc>
        <w:tc>
          <w:tcPr>
            <w:tcW w:type="dxa" w:w="235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Deduction &amp; reason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44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Deductions applied: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Depreciation on parts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Depreciation on paint / rubber / plastic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Salvage value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Compulsory excess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Voluntary excess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Betterment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Non-standard deduction for breach of condition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Labour rate capped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Parts not covered / not damaged in the accident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Pre-existing damage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TOTAL LOSS / THEFT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Repair cost assessed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Percentage of IDV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Declared total loss / CTL?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Salvage retained by (insurer / insured)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Salvage value adopted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/ hypothecation outstanding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Financier's NOC obtained?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RC, keys and subrogation letter handed over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GROUNDS OF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The dispute is about: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IDV is lower than market value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Excessive depreciation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Salvage over-valued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survey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payment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for delayed intimation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for driving-licence breach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for use contrary to limitations as to use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for alcohol / intoxication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for no permit / fitness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Add-on benefit not honoured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Cashless garage refused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A breach of a policy condition does not automatically defeat a claim: the question is whether the breach was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fundamental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and whether it had any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nexus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with the loss. Where the breach is technical, insurers commonly settle on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non-standard basis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(typically a percentage of the assessed loss) — an outcome that mediation is well suited to reach. Third-party injury and death claims lie before the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Motor Accidents Claims Tribunal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, not the Insurance Ombudsman.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F-I10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860E97-7AF7-4151-A03A-B3D97955C9FA}"/>
</file>

<file path=customXml/itemProps3.xml><?xml version="1.0" encoding="utf-8"?>
<ds:datastoreItem xmlns:ds="http://schemas.openxmlformats.org/officeDocument/2006/customXml" ds:itemID="{116EA15C-EE79-4E73-A8E7-6DF72F88D31B}"/>
</file>

<file path=customXml/itemProps4.xml><?xml version="1.0" encoding="utf-8"?>
<ds:datastoreItem xmlns:ds="http://schemas.openxmlformats.org/officeDocument/2006/customXml" ds:itemID="{640AF7C6-C40B-44E3-A4A3-43B361EF5B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