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6624"/>
          </w:tcPr>
          <w:p>
            <w:r>
              <w:rPr>
                <w:rFonts w:ascii="Calibri" w:hAnsi="Calibri"/>
                <w:b/>
                <w:i w:val="0"/>
                <w:color w:val="123B4F"/>
                <w:sz w:val="32"/>
              </w:rPr>
              <w:t>EQUATOR RESOLUTION</w:t>
            </w:r>
          </w:p>
          <w:p>
            <w:pPr>
              <w:spacing w:after="0"/>
            </w:pPr>
            <w:r>
              <w:rPr>
                <w:rFonts w:ascii="Calibri" w:hAnsi="Calibri"/>
                <w:b w:val="0"/>
                <w:i/>
                <w:color w:val="1E7A8C"/>
                <w:sz w:val="17"/>
              </w:rPr>
              <w:t>Institutional Mediation &amp; Online Dispute Resolution</w:t>
            </w:r>
          </w:p>
          <w:p>
            <w:pPr>
              <w:spacing w:after="0"/>
            </w:pPr>
            <w:r>
              <w:rPr>
                <w:rFonts w:ascii="Calibri" w:hAnsi="Calibri"/>
                <w:b w:val="0"/>
                <w:i w:val="0"/>
                <w:color w:val="556168"/>
                <w:sz w:val="16"/>
              </w:rPr>
              <w:t>www.equatorresolution.com  ·  An Infrabyx Group Venture</w:t>
            </w:r>
          </w:p>
        </w:tc>
        <w:tc>
          <w:tcPr>
            <w:tcW w:type="dxa" w:w="3168"/>
          </w:tcPr>
          <w:p>
            <w:pPr>
              <w:jc w:val="right"/>
            </w:pPr>
            <w:r>
              <w:rPr>
                <w:rFonts w:ascii="Calibri" w:hAnsi="Calibri"/>
                <w:b/>
                <w:i w:val="0"/>
                <w:color w:val="C6A15B"/>
                <w:sz w:val="22"/>
              </w:rPr>
              <w:t>Form F-I11</w:t>
            </w:r>
          </w:p>
          <w:p>
            <w:pPr>
              <w:spacing w:after="0"/>
              <w:jc w:val="right"/>
            </w:pPr>
            <w:r>
              <w:rPr>
                <w:rFonts w:ascii="Calibri" w:hAnsi="Calibri"/>
                <w:b w:val="0"/>
                <w:i w:val="0"/>
                <w:color w:val="556168"/>
                <w:sz w:val="16"/>
              </w:rPr>
              <w:t>Insurance Dispute Vertical</w:t>
            </w:r>
          </w:p>
          <w:p>
            <w:pPr>
              <w:spacing w:after="0"/>
              <w:jc w:val="right"/>
            </w:pPr>
            <w:r>
              <w:rPr>
                <w:rFonts w:ascii="Calibri" w:hAnsi="Calibri"/>
                <w:b w:val="0"/>
                <w:i w:val="0"/>
                <w:color w:val="556168"/>
                <w:sz w:val="16"/>
              </w:rPr>
              <w:t>Confidential</w:t>
            </w:r>
          </w:p>
        </w:tc>
      </w:tr>
    </w:tbl>
    <w:p>
      <w:pPr>
        <w:spacing w:after="120"/>
        <w:pBdr>
          <w:bottom w:val="single" w:sz="14" w:space="1" w:color="C6A15B"/>
        </w:pBdr>
      </w:pPr>
    </w:p>
    <w:p>
      <w:pPr>
        <w:spacing w:after="40"/>
      </w:pPr>
      <w:r>
        <w:rPr>
          <w:rFonts w:ascii="Calibri" w:hAnsi="Calibri"/>
          <w:b/>
          <w:i w:val="0"/>
          <w:color w:val="123B4F"/>
          <w:sz w:val="30"/>
        </w:rPr>
        <w:t>Life Insurance Claim Dispute Schedule</w:t>
      </w:r>
    </w:p>
    <w:p>
      <w:pPr>
        <w:spacing w:after="120"/>
      </w:pPr>
      <w:r>
        <w:rPr>
          <w:rFonts w:ascii="Calibri" w:hAnsi="Calibri"/>
          <w:b w:val="0"/>
          <w:i/>
          <w:color w:val="556168"/>
          <w:sz w:val="19"/>
        </w:rPr>
        <w:t>For death claims, early claims, non-disclosure, nomination, surrender and maturity disputes.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Case No.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Insurer</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Policy no.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Plan &amp; term</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commencement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last revival (if any)</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Sum assured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Premium &amp; mode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Premiums paid up to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Policy status at the date of event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A.  THE CLAIM</w:t>
            </w:r>
          </w:p>
        </w:tc>
      </w:tr>
    </w:tbl>
    <w:p>
      <w:pPr>
        <w:spacing w:after="20"/>
      </w:pPr>
    </w:p>
    <w:p>
      <w:pPr>
        <w:spacing w:after="20"/>
      </w:pPr>
      <w:r>
        <w:rPr>
          <w:rFonts w:ascii="Calibri" w:hAnsi="Calibri"/>
          <w:b/>
          <w:i w:val="0"/>
          <w:color w:val="123B4F"/>
          <w:sz w:val="18"/>
        </w:rPr>
        <w:t>Type: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tcMar>
              <w:top w:w="20" w:type="dxa"/>
              <w:bottom w:w="20" w:type="dxa"/>
              <w:start w:w="40" w:type="dxa"/>
              <w:end w:w="80" w:type="dxa"/>
            </w:tcMar>
          </w:tcPr>
          <w:p>
            <w:pPr>
              <w:spacing w:after="0"/>
            </w:pPr>
            <w:r>
              <w:rPr>
                <w:rFonts w:ascii="Calibri" w:hAnsi="Calibri"/>
                <w:b w:val="0"/>
                <w:i w:val="0"/>
                <w:color w:val="1B2A32"/>
                <w:sz w:val="18"/>
              </w:rPr>
              <w:t>☐  Death claim</w:t>
            </w:r>
          </w:p>
        </w:tc>
        <w:tc>
          <w:tcPr>
            <w:tcW w:type="dxa" w:w="4896"/>
            <w:tcMar>
              <w:top w:w="20" w:type="dxa"/>
              <w:bottom w:w="20" w:type="dxa"/>
              <w:start w:w="40" w:type="dxa"/>
              <w:end w:w="80" w:type="dxa"/>
            </w:tcMar>
          </w:tcPr>
          <w:p>
            <w:pPr>
              <w:spacing w:after="0"/>
            </w:pPr>
            <w:r>
              <w:rPr>
                <w:rFonts w:ascii="Calibri" w:hAnsi="Calibri"/>
                <w:b w:val="0"/>
                <w:i w:val="0"/>
                <w:color w:val="1B2A32"/>
                <w:sz w:val="18"/>
              </w:rPr>
              <w:t>☐  Early death claim (within 3 years)</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Accidental death benefit</w:t>
            </w:r>
          </w:p>
        </w:tc>
        <w:tc>
          <w:tcPr>
            <w:tcW w:type="dxa" w:w="4896"/>
            <w:tcMar>
              <w:top w:w="20" w:type="dxa"/>
              <w:bottom w:w="20" w:type="dxa"/>
              <w:start w:w="40" w:type="dxa"/>
              <w:end w:w="80" w:type="dxa"/>
            </w:tcMar>
          </w:tcPr>
          <w:p>
            <w:pPr>
              <w:spacing w:after="0"/>
            </w:pPr>
            <w:r>
              <w:rPr>
                <w:rFonts w:ascii="Calibri" w:hAnsi="Calibri"/>
                <w:b w:val="0"/>
                <w:i w:val="0"/>
                <w:color w:val="1B2A32"/>
                <w:sz w:val="18"/>
              </w:rPr>
              <w:t>☐  Terminal / critical illness benefit</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Disability benefit</w:t>
            </w:r>
          </w:p>
        </w:tc>
        <w:tc>
          <w:tcPr>
            <w:tcW w:type="dxa" w:w="4896"/>
            <w:tcMar>
              <w:top w:w="20" w:type="dxa"/>
              <w:bottom w:w="20" w:type="dxa"/>
              <w:start w:w="40" w:type="dxa"/>
              <w:end w:w="80" w:type="dxa"/>
            </w:tcMar>
          </w:tcPr>
          <w:p>
            <w:pPr>
              <w:spacing w:after="0"/>
            </w:pPr>
            <w:r>
              <w:rPr>
                <w:rFonts w:ascii="Calibri" w:hAnsi="Calibri"/>
                <w:b w:val="0"/>
                <w:i w:val="0"/>
                <w:color w:val="1B2A32"/>
                <w:sz w:val="18"/>
              </w:rPr>
              <w:t>☐  Maturity</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Survival benefit</w:t>
            </w:r>
          </w:p>
        </w:tc>
        <w:tc>
          <w:tcPr>
            <w:tcW w:type="dxa" w:w="4896"/>
            <w:tcMar>
              <w:top w:w="20" w:type="dxa"/>
              <w:bottom w:w="20" w:type="dxa"/>
              <w:start w:w="40" w:type="dxa"/>
              <w:end w:w="80" w:type="dxa"/>
            </w:tcMar>
          </w:tcPr>
          <w:p>
            <w:pPr>
              <w:spacing w:after="0"/>
            </w:pPr>
            <w:r>
              <w:rPr>
                <w:rFonts w:ascii="Calibri" w:hAnsi="Calibri"/>
                <w:b w:val="0"/>
                <w:i w:val="0"/>
                <w:color w:val="1B2A32"/>
                <w:sz w:val="18"/>
              </w:rPr>
              <w:t>☐  Surrender value</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Bonus / loyalty addition</w:t>
            </w:r>
          </w:p>
        </w:tc>
        <w:tc>
          <w:tcPr>
            <w:tcW w:type="dxa" w:w="4896"/>
            <w:tcMar>
              <w:top w:w="20" w:type="dxa"/>
              <w:bottom w:w="20" w:type="dxa"/>
              <w:start w:w="40" w:type="dxa"/>
              <w:end w:w="80" w:type="dxa"/>
            </w:tcMar>
          </w:tcPr>
          <w:p>
            <w:pPr>
              <w:spacing w:after="0"/>
            </w:pPr>
            <w:r>
              <w:rPr>
                <w:rFonts w:ascii="Calibri" w:hAnsi="Calibri"/>
                <w:b w:val="0"/>
                <w:i w:val="0"/>
                <w:color w:val="1B2A32"/>
                <w:sz w:val="18"/>
              </w:rPr>
              <w:t>☐  Paid-up value</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Annuity payment</w:t>
            </w:r>
          </w:p>
        </w:tc>
        <w:tc>
          <w:tcPr>
            <w:tcW w:type="dxa" w:w="4896"/>
            <w:tcMar>
              <w:top w:w="20" w:type="dxa"/>
              <w:bottom w:w="20" w:type="dxa"/>
              <w:start w:w="40" w:type="dxa"/>
              <w:end w:w="80" w:type="dxa"/>
            </w:tcMar>
          </w:tcPr>
          <w:p>
            <w:pPr>
              <w:spacing w:after="0"/>
            </w:pPr>
            <w:r>
              <w:rPr>
                <w:rFonts w:ascii="Calibri" w:hAnsi="Calibri"/>
                <w:b w:val="0"/>
                <w:i w:val="0"/>
                <w:color w:val="1B2A32"/>
                <w:sz w:val="18"/>
              </w:rPr>
              <w:t>☐  Policy loan / assignment</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Nomination dispute</w:t>
            </w:r>
          </w:p>
        </w:tc>
        <w:tc>
          <w:tcPr>
            <w:tcW w:type="dxa" w:w="4896"/>
            <w:tcMar>
              <w:top w:w="20" w:type="dxa"/>
              <w:bottom w:w="20" w:type="dxa"/>
              <w:start w:w="40" w:type="dxa"/>
              <w:end w:w="8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death / event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Cause of death as certified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Place of death</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intimation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Claimant's relationship to the life assured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Nominee as recorded in the policy</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B.  SECTION 45 ANALYSIS (Insurance Act, 1938)</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issue / commencement / risk / revival, whichever is later</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the insurer called the policy in question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Number of years elapsed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Did the insurer communicate the ground in writing to the insured / nominee?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Were the materials on which the decision is based supplied?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792"/>
      </w:tblGrid>
      <w:tr>
        <w:tc>
          <w:tcPr>
            <w:tcW w:type="dxa" w:w="9792"/>
            <w:shd w:val="clear" w:color="auto" w:fill="F5ECD6"/>
            <w:tcMar>
              <w:top w:w="70" w:type="dxa"/>
              <w:bottom w:w="70" w:type="dxa"/>
              <w:start w:w="120" w:type="dxa"/>
              <w:end w:w="120" w:type="dxa"/>
            </w:tcMar>
          </w:tcPr>
          <w:p>
            <w:pPr>
              <w:spacing w:after="0"/>
            </w:pPr>
            <w:r>
              <w:rPr>
                <w:rFonts w:ascii="Calibri" w:hAnsi="Calibri"/>
                <w:b w:val="0"/>
                <w:i w:val="0"/>
                <w:color w:val="1B2A32"/>
                <w:sz w:val="17"/>
              </w:rPr>
              <w:t>Section 45 restricts an insurer from calling a life policy in question after the statutory period from the later of the date of issue, commencement of risk, revival or rider. Within that period the insurer may act only on the grounds, and following the procedure, that the section prescribes — including communicating the ground in writing with the materials relied on. Check the dates first: they often decide the case. [verify — current text of s.45 and the applicable period]</w:t>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C.  NON-DISCLOSURE ALLEGED</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1958"/>
        <w:gridCol w:w="1958"/>
        <w:gridCol w:w="1958"/>
        <w:gridCol w:w="1958"/>
        <w:gridCol w:w="1958"/>
      </w:tblGrid>
      <w:tr>
        <w:tc>
          <w:tcPr>
            <w:tcW w:type="dxa" w:w="2154"/>
            <w:shd w:val="clear" w:color="auto" w:fill="123B4F"/>
            <w:tcMar>
              <w:top w:w="50" w:type="dxa"/>
              <w:bottom w:w="50" w:type="dxa"/>
              <w:start w:w="100" w:type="dxa"/>
              <w:end w:w="100" w:type="dxa"/>
            </w:tcMar>
          </w:tcPr>
          <w:p>
            <w:pPr>
              <w:spacing w:after="0"/>
            </w:pPr>
            <w:r>
              <w:rPr>
                <w:rFonts w:ascii="Calibri" w:hAnsi="Calibri"/>
                <w:b/>
                <w:i w:val="0"/>
                <w:color w:val="FFFFFF"/>
                <w:sz w:val="17"/>
              </w:rPr>
              <w:t>Fact allegedly not disclosed</w:t>
            </w:r>
          </w:p>
        </w:tc>
        <w:tc>
          <w:tcPr>
            <w:tcW w:type="dxa" w:w="2154"/>
            <w:shd w:val="clear" w:color="auto" w:fill="123B4F"/>
            <w:tcMar>
              <w:top w:w="50" w:type="dxa"/>
              <w:bottom w:w="50" w:type="dxa"/>
              <w:start w:w="100" w:type="dxa"/>
              <w:end w:w="100" w:type="dxa"/>
            </w:tcMar>
          </w:tcPr>
          <w:p>
            <w:pPr>
              <w:spacing w:after="0"/>
            </w:pPr>
            <w:r>
              <w:rPr>
                <w:rFonts w:ascii="Calibri" w:hAnsi="Calibri"/>
                <w:b/>
                <w:i w:val="0"/>
                <w:color w:val="FFFFFF"/>
                <w:sz w:val="17"/>
              </w:rPr>
              <w:t>Question in the proposal form</w:t>
            </w:r>
          </w:p>
        </w:tc>
        <w:tc>
          <w:tcPr>
            <w:tcW w:type="dxa" w:w="1567"/>
            <w:shd w:val="clear" w:color="auto" w:fill="123B4F"/>
            <w:tcMar>
              <w:top w:w="50" w:type="dxa"/>
              <w:bottom w:w="50" w:type="dxa"/>
              <w:start w:w="100" w:type="dxa"/>
              <w:end w:w="100" w:type="dxa"/>
            </w:tcMar>
          </w:tcPr>
          <w:p>
            <w:pPr>
              <w:spacing w:after="0"/>
            </w:pPr>
            <w:r>
              <w:rPr>
                <w:rFonts w:ascii="Calibri" w:hAnsi="Calibri"/>
                <w:b/>
                <w:i w:val="0"/>
                <w:color w:val="FFFFFF"/>
                <w:sz w:val="17"/>
              </w:rPr>
              <w:t>What was answered</w:t>
            </w:r>
          </w:p>
        </w:tc>
        <w:tc>
          <w:tcPr>
            <w:tcW w:type="dxa" w:w="1763"/>
            <w:shd w:val="clear" w:color="auto" w:fill="123B4F"/>
            <w:tcMar>
              <w:top w:w="50" w:type="dxa"/>
              <w:bottom w:w="50" w:type="dxa"/>
              <w:start w:w="100" w:type="dxa"/>
              <w:end w:w="100" w:type="dxa"/>
            </w:tcMar>
          </w:tcPr>
          <w:p>
            <w:pPr>
              <w:spacing w:after="0"/>
            </w:pPr>
            <w:r>
              <w:rPr>
                <w:rFonts w:ascii="Calibri" w:hAnsi="Calibri"/>
                <w:b/>
                <w:i w:val="0"/>
                <w:color w:val="FFFFFF"/>
                <w:sz w:val="17"/>
              </w:rPr>
              <w:t>Was it material to the risk?</w:t>
            </w:r>
          </w:p>
        </w:tc>
        <w:tc>
          <w:tcPr>
            <w:tcW w:type="dxa" w:w="2154"/>
            <w:shd w:val="clear" w:color="auto" w:fill="123B4F"/>
            <w:tcMar>
              <w:top w:w="50" w:type="dxa"/>
              <w:bottom w:w="50" w:type="dxa"/>
              <w:start w:w="100" w:type="dxa"/>
              <w:end w:w="100" w:type="dxa"/>
            </w:tcMar>
          </w:tcPr>
          <w:p>
            <w:pPr>
              <w:spacing w:after="0"/>
            </w:pPr>
            <w:r>
              <w:rPr>
                <w:rFonts w:ascii="Calibri" w:hAnsi="Calibri"/>
                <w:b/>
                <w:i w:val="0"/>
                <w:color w:val="FFFFFF"/>
                <w:sz w:val="17"/>
              </w:rPr>
              <w:t>Evidence relied on by insurer</w:t>
            </w:r>
          </w:p>
        </w:tc>
      </w:tr>
      <w:tr>
        <w:tc>
          <w:tcPr>
            <w:tcW w:type="dxa" w:w="2154"/>
            <w:tcMar>
              <w:top w:w="50" w:type="dxa"/>
              <w:bottom w:w="50" w:type="dxa"/>
              <w:start w:w="100" w:type="dxa"/>
              <w:end w:w="100" w:type="dxa"/>
            </w:tcMar>
          </w:tcPr>
          <w:p>
            <w:r>
              <w:t xml:space="preserve"> </w:t>
            </w:r>
          </w:p>
        </w:tc>
        <w:tc>
          <w:tcPr>
            <w:tcW w:type="dxa" w:w="2154"/>
            <w:tcMar>
              <w:top w:w="50" w:type="dxa"/>
              <w:bottom w:w="50" w:type="dxa"/>
              <w:start w:w="100" w:type="dxa"/>
              <w:end w:w="100" w:type="dxa"/>
            </w:tcMar>
          </w:tcPr>
          <w:p>
            <w:r>
              <w:t xml:space="preserve"> </w:t>
            </w:r>
          </w:p>
        </w:tc>
        <w:tc>
          <w:tcPr>
            <w:tcW w:type="dxa" w:w="1567"/>
            <w:tcMar>
              <w:top w:w="50" w:type="dxa"/>
              <w:bottom w:w="50" w:type="dxa"/>
              <w:start w:w="100" w:type="dxa"/>
              <w:end w:w="100" w:type="dxa"/>
            </w:tcMar>
          </w:tcPr>
          <w:p>
            <w:r>
              <w:t xml:space="preserve"> </w:t>
            </w:r>
          </w:p>
        </w:tc>
        <w:tc>
          <w:tcPr>
            <w:tcW w:type="dxa" w:w="1763"/>
            <w:tcMar>
              <w:top w:w="50" w:type="dxa"/>
              <w:bottom w:w="50" w:type="dxa"/>
              <w:start w:w="100" w:type="dxa"/>
              <w:end w:w="100" w:type="dxa"/>
            </w:tcMar>
          </w:tcPr>
          <w:p>
            <w:r>
              <w:t xml:space="preserve"> </w:t>
            </w:r>
          </w:p>
        </w:tc>
        <w:tc>
          <w:tcPr>
            <w:tcW w:type="dxa" w:w="2154"/>
            <w:tcMar>
              <w:top w:w="50" w:type="dxa"/>
              <w:bottom w:w="50" w:type="dxa"/>
              <w:start w:w="100" w:type="dxa"/>
              <w:end w:w="100" w:type="dxa"/>
            </w:tcMar>
          </w:tcPr>
          <w:p>
            <w:r>
              <w:t xml:space="preserve"> </w:t>
            </w:r>
          </w:p>
        </w:tc>
      </w:tr>
      <w:tr>
        <w:tc>
          <w:tcPr>
            <w:tcW w:type="dxa" w:w="2154"/>
            <w:tcMar>
              <w:top w:w="50" w:type="dxa"/>
              <w:bottom w:w="50" w:type="dxa"/>
              <w:start w:w="100" w:type="dxa"/>
              <w:end w:w="100" w:type="dxa"/>
            </w:tcMar>
            <w:shd w:val="clear" w:color="auto" w:fill="F3F7F9"/>
          </w:tcPr>
          <w:p>
            <w:r>
              <w:t xml:space="preserve"> </w:t>
            </w:r>
          </w:p>
        </w:tc>
        <w:tc>
          <w:tcPr>
            <w:tcW w:type="dxa" w:w="2154"/>
            <w:tcMar>
              <w:top w:w="50" w:type="dxa"/>
              <w:bottom w:w="50" w:type="dxa"/>
              <w:start w:w="100" w:type="dxa"/>
              <w:end w:w="100" w:type="dxa"/>
            </w:tcMar>
            <w:shd w:val="clear" w:color="auto" w:fill="F3F7F9"/>
          </w:tcPr>
          <w:p>
            <w:r>
              <w:t xml:space="preserve"> </w:t>
            </w:r>
          </w:p>
        </w:tc>
        <w:tc>
          <w:tcPr>
            <w:tcW w:type="dxa" w:w="1567"/>
            <w:tcMar>
              <w:top w:w="50" w:type="dxa"/>
              <w:bottom w:w="50" w:type="dxa"/>
              <w:start w:w="100" w:type="dxa"/>
              <w:end w:w="100" w:type="dxa"/>
            </w:tcMar>
            <w:shd w:val="clear" w:color="auto" w:fill="F3F7F9"/>
          </w:tcPr>
          <w:p>
            <w:r>
              <w:t xml:space="preserve"> </w:t>
            </w:r>
          </w:p>
        </w:tc>
        <w:tc>
          <w:tcPr>
            <w:tcW w:type="dxa" w:w="1763"/>
            <w:tcMar>
              <w:top w:w="50" w:type="dxa"/>
              <w:bottom w:w="50" w:type="dxa"/>
              <w:start w:w="100" w:type="dxa"/>
              <w:end w:w="100" w:type="dxa"/>
            </w:tcMar>
            <w:shd w:val="clear" w:color="auto" w:fill="F3F7F9"/>
          </w:tcPr>
          <w:p>
            <w:r>
              <w:t xml:space="preserve"> </w:t>
            </w:r>
          </w:p>
        </w:tc>
        <w:tc>
          <w:tcPr>
            <w:tcW w:type="dxa" w:w="2154"/>
            <w:tcMar>
              <w:top w:w="50" w:type="dxa"/>
              <w:bottom w:w="50" w:type="dxa"/>
              <w:start w:w="100" w:type="dxa"/>
              <w:end w:w="100" w:type="dxa"/>
            </w:tcMar>
            <w:shd w:val="clear" w:color="auto" w:fill="F3F7F9"/>
          </w:tcPr>
          <w:p>
            <w:r>
              <w:t xml:space="preserve"> </w:t>
            </w:r>
          </w:p>
        </w:tc>
      </w:tr>
      <w:tr>
        <w:tc>
          <w:tcPr>
            <w:tcW w:type="dxa" w:w="2154"/>
            <w:tcMar>
              <w:top w:w="50" w:type="dxa"/>
              <w:bottom w:w="50" w:type="dxa"/>
              <w:start w:w="100" w:type="dxa"/>
              <w:end w:w="100" w:type="dxa"/>
            </w:tcMar>
          </w:tcPr>
          <w:p>
            <w:r>
              <w:t xml:space="preserve"> </w:t>
            </w:r>
          </w:p>
        </w:tc>
        <w:tc>
          <w:tcPr>
            <w:tcW w:type="dxa" w:w="2154"/>
            <w:tcMar>
              <w:top w:w="50" w:type="dxa"/>
              <w:bottom w:w="50" w:type="dxa"/>
              <w:start w:w="100" w:type="dxa"/>
              <w:end w:w="100" w:type="dxa"/>
            </w:tcMar>
          </w:tcPr>
          <w:p>
            <w:r>
              <w:t xml:space="preserve"> </w:t>
            </w:r>
          </w:p>
        </w:tc>
        <w:tc>
          <w:tcPr>
            <w:tcW w:type="dxa" w:w="1567"/>
            <w:tcMar>
              <w:top w:w="50" w:type="dxa"/>
              <w:bottom w:w="50" w:type="dxa"/>
              <w:start w:w="100" w:type="dxa"/>
              <w:end w:w="100" w:type="dxa"/>
            </w:tcMar>
          </w:tcPr>
          <w:p>
            <w:r>
              <w:t xml:space="preserve"> </w:t>
            </w:r>
          </w:p>
        </w:tc>
        <w:tc>
          <w:tcPr>
            <w:tcW w:type="dxa" w:w="1763"/>
            <w:tcMar>
              <w:top w:w="50" w:type="dxa"/>
              <w:bottom w:w="50" w:type="dxa"/>
              <w:start w:w="100" w:type="dxa"/>
              <w:end w:w="100" w:type="dxa"/>
            </w:tcMar>
          </w:tcPr>
          <w:p>
            <w:r>
              <w:t xml:space="preserve"> </w:t>
            </w:r>
          </w:p>
        </w:tc>
        <w:tc>
          <w:tcPr>
            <w:tcW w:type="dxa" w:w="2154"/>
            <w:tcMar>
              <w:top w:w="50" w:type="dxa"/>
              <w:bottom w:w="50" w:type="dxa"/>
              <w:start w:w="100" w:type="dxa"/>
              <w:end w:w="100" w:type="dxa"/>
            </w:tcMar>
          </w:tcPr>
          <w:p>
            <w:r>
              <w:t xml:space="preserve"> </w:t>
            </w:r>
          </w:p>
        </w:tc>
      </w:tr>
      <w:tr>
        <w:tc>
          <w:tcPr>
            <w:tcW w:type="dxa" w:w="2154"/>
            <w:tcMar>
              <w:top w:w="50" w:type="dxa"/>
              <w:bottom w:w="50" w:type="dxa"/>
              <w:start w:w="100" w:type="dxa"/>
              <w:end w:w="100" w:type="dxa"/>
            </w:tcMar>
            <w:shd w:val="clear" w:color="auto" w:fill="F3F7F9"/>
          </w:tcPr>
          <w:p>
            <w:r>
              <w:t xml:space="preserve"> </w:t>
            </w:r>
          </w:p>
        </w:tc>
        <w:tc>
          <w:tcPr>
            <w:tcW w:type="dxa" w:w="2154"/>
            <w:tcMar>
              <w:top w:w="50" w:type="dxa"/>
              <w:bottom w:w="50" w:type="dxa"/>
              <w:start w:w="100" w:type="dxa"/>
              <w:end w:w="100" w:type="dxa"/>
            </w:tcMar>
            <w:shd w:val="clear" w:color="auto" w:fill="F3F7F9"/>
          </w:tcPr>
          <w:p>
            <w:r>
              <w:t xml:space="preserve"> </w:t>
            </w:r>
          </w:p>
        </w:tc>
        <w:tc>
          <w:tcPr>
            <w:tcW w:type="dxa" w:w="1567"/>
            <w:tcMar>
              <w:top w:w="50" w:type="dxa"/>
              <w:bottom w:w="50" w:type="dxa"/>
              <w:start w:w="100" w:type="dxa"/>
              <w:end w:w="100" w:type="dxa"/>
            </w:tcMar>
            <w:shd w:val="clear" w:color="auto" w:fill="F3F7F9"/>
          </w:tcPr>
          <w:p>
            <w:r>
              <w:t xml:space="preserve"> </w:t>
            </w:r>
          </w:p>
        </w:tc>
        <w:tc>
          <w:tcPr>
            <w:tcW w:type="dxa" w:w="1763"/>
            <w:tcMar>
              <w:top w:w="50" w:type="dxa"/>
              <w:bottom w:w="50" w:type="dxa"/>
              <w:start w:w="100" w:type="dxa"/>
              <w:end w:w="100" w:type="dxa"/>
            </w:tcMar>
            <w:shd w:val="clear" w:color="auto" w:fill="F3F7F9"/>
          </w:tcPr>
          <w:p>
            <w:r>
              <w:t xml:space="preserve"> </w:t>
            </w:r>
          </w:p>
        </w:tc>
        <w:tc>
          <w:tcPr>
            <w:tcW w:type="dxa" w:w="2154"/>
            <w:tcMar>
              <w:top w:w="50" w:type="dxa"/>
              <w:bottom w:w="50" w:type="dxa"/>
              <w:start w:w="100" w:type="dxa"/>
              <w:end w:w="100" w:type="dxa"/>
            </w:tcMar>
            <w:shd w:val="clear" w:color="auto" w:fill="F3F7F9"/>
          </w:tcPr>
          <w:p>
            <w:r>
              <w:t xml:space="preserve"> </w:t>
            </w:r>
          </w:p>
        </w:tc>
      </w:tr>
      <w:tr>
        <w:tc>
          <w:tcPr>
            <w:tcW w:type="dxa" w:w="2154"/>
            <w:tcMar>
              <w:top w:w="50" w:type="dxa"/>
              <w:bottom w:w="50" w:type="dxa"/>
              <w:start w:w="100" w:type="dxa"/>
              <w:end w:w="100" w:type="dxa"/>
            </w:tcMar>
          </w:tcPr>
          <w:p>
            <w:r>
              <w:t xml:space="preserve"> </w:t>
            </w:r>
          </w:p>
        </w:tc>
        <w:tc>
          <w:tcPr>
            <w:tcW w:type="dxa" w:w="2154"/>
            <w:tcMar>
              <w:top w:w="50" w:type="dxa"/>
              <w:bottom w:w="50" w:type="dxa"/>
              <w:start w:w="100" w:type="dxa"/>
              <w:end w:w="100" w:type="dxa"/>
            </w:tcMar>
          </w:tcPr>
          <w:p>
            <w:r>
              <w:t xml:space="preserve"> </w:t>
            </w:r>
          </w:p>
        </w:tc>
        <w:tc>
          <w:tcPr>
            <w:tcW w:type="dxa" w:w="1567"/>
            <w:tcMar>
              <w:top w:w="50" w:type="dxa"/>
              <w:bottom w:w="50" w:type="dxa"/>
              <w:start w:w="100" w:type="dxa"/>
              <w:end w:w="100" w:type="dxa"/>
            </w:tcMar>
          </w:tcPr>
          <w:p>
            <w:r>
              <w:t xml:space="preserve"> </w:t>
            </w:r>
          </w:p>
        </w:tc>
        <w:tc>
          <w:tcPr>
            <w:tcW w:type="dxa" w:w="1763"/>
            <w:tcMar>
              <w:top w:w="50" w:type="dxa"/>
              <w:bottom w:w="50" w:type="dxa"/>
              <w:start w:w="100" w:type="dxa"/>
              <w:end w:w="100" w:type="dxa"/>
            </w:tcMar>
          </w:tcPr>
          <w:p>
            <w:r>
              <w:t xml:space="preserve"> </w:t>
            </w:r>
          </w:p>
        </w:tc>
        <w:tc>
          <w:tcPr>
            <w:tcW w:type="dxa" w:w="2154"/>
            <w:tcMar>
              <w:top w:w="50" w:type="dxa"/>
              <w:bottom w:w="50" w:type="dxa"/>
              <w:start w:w="100" w:type="dxa"/>
              <w:end w:w="100" w:type="dxa"/>
            </w:tcMar>
          </w:tcPr>
          <w:p>
            <w:r>
              <w:t xml:space="preserve"> </w:t>
            </w:r>
          </w:p>
        </w:tc>
      </w:tr>
      <w:tr>
        <w:tc>
          <w:tcPr>
            <w:tcW w:type="dxa" w:w="2154"/>
            <w:tcMar>
              <w:top w:w="50" w:type="dxa"/>
              <w:bottom w:w="50" w:type="dxa"/>
              <w:start w:w="100" w:type="dxa"/>
              <w:end w:w="100" w:type="dxa"/>
            </w:tcMar>
            <w:shd w:val="clear" w:color="auto" w:fill="F3F7F9"/>
          </w:tcPr>
          <w:p>
            <w:r>
              <w:t xml:space="preserve"> </w:t>
            </w:r>
          </w:p>
        </w:tc>
        <w:tc>
          <w:tcPr>
            <w:tcW w:type="dxa" w:w="2154"/>
            <w:tcMar>
              <w:top w:w="50" w:type="dxa"/>
              <w:bottom w:w="50" w:type="dxa"/>
              <w:start w:w="100" w:type="dxa"/>
              <w:end w:w="100" w:type="dxa"/>
            </w:tcMar>
            <w:shd w:val="clear" w:color="auto" w:fill="F3F7F9"/>
          </w:tcPr>
          <w:p>
            <w:r>
              <w:t xml:space="preserve"> </w:t>
            </w:r>
          </w:p>
        </w:tc>
        <w:tc>
          <w:tcPr>
            <w:tcW w:type="dxa" w:w="1567"/>
            <w:tcMar>
              <w:top w:w="50" w:type="dxa"/>
              <w:bottom w:w="50" w:type="dxa"/>
              <w:start w:w="100" w:type="dxa"/>
              <w:end w:w="100" w:type="dxa"/>
            </w:tcMar>
            <w:shd w:val="clear" w:color="auto" w:fill="F3F7F9"/>
          </w:tcPr>
          <w:p>
            <w:r>
              <w:t xml:space="preserve"> </w:t>
            </w:r>
          </w:p>
        </w:tc>
        <w:tc>
          <w:tcPr>
            <w:tcW w:type="dxa" w:w="1763"/>
            <w:tcMar>
              <w:top w:w="50" w:type="dxa"/>
              <w:bottom w:w="50" w:type="dxa"/>
              <w:start w:w="100" w:type="dxa"/>
              <w:end w:w="100" w:type="dxa"/>
            </w:tcMar>
            <w:shd w:val="clear" w:color="auto" w:fill="F3F7F9"/>
          </w:tcPr>
          <w:p>
            <w:r>
              <w:t xml:space="preserve"> </w:t>
            </w:r>
          </w:p>
        </w:tc>
        <w:tc>
          <w:tcPr>
            <w:tcW w:type="dxa" w:w="2154"/>
            <w:tcMar>
              <w:top w:w="50" w:type="dxa"/>
              <w:bottom w:w="50" w:type="dxa"/>
              <w:start w:w="100" w:type="dxa"/>
              <w:end w:w="100" w:type="dxa"/>
            </w:tcMar>
            <w:shd w:val="clear" w:color="auto" w:fill="F3F7F9"/>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Was the proposal form filled by the agent?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Was a medical examination conducted? (date)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Was the fact known to the insurer from its own records?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D.  NOMINATION / ASSIGNMENT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Nominee(s) on record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last nomination change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Assignment recorded in favour of</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Competing claimants (if any)</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Succession certificate / legal heir certificate available?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Prepared by</w:t>
            </w:r>
          </w:p>
          <w:p>
            <w:pPr>
              <w:spacing w:after="0"/>
            </w:pPr>
            <w:r>
              <w:rPr>
                <w:rFonts w:ascii="Calibri" w:hAnsi="Calibri"/>
                <w:b w:val="0"/>
                <w:i/>
                <w:color w:val="556168"/>
                <w:sz w:val="15"/>
              </w:rPr>
              <w:t>Name / Signature / Date</w:t>
            </w:r>
          </w:p>
        </w:tc>
        <w:tc>
          <w:tcPr>
            <w:tcW w:type="dxa" w:w="4896"/>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Verified by (Equator)</w:t>
            </w:r>
          </w:p>
          <w:p>
            <w:pPr>
              <w:spacing w:after="0"/>
            </w:pPr>
            <w:r>
              <w:rPr>
                <w:rFonts w:ascii="Calibri" w:hAnsi="Calibri"/>
                <w:b w:val="0"/>
                <w:i/>
                <w:color w:val="556168"/>
                <w:sz w:val="15"/>
              </w:rPr>
              <w:t>Name / Signature / Date</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5"/>
      </w:rPr>
      <w:t>Equator Resolution  ·  Form F-I11  ·  Confidential  ·  This form takes legal effect subject to the Insurance Ombudsman Rules, 2017, the Consumer Protection Act, 2019 and the Mediation Act, 2023.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B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C99873-741B-4781-A438-3DAFBFE176B0}"/>
</file>

<file path=customXml/itemProps3.xml><?xml version="1.0" encoding="utf-8"?>
<ds:datastoreItem xmlns:ds="http://schemas.openxmlformats.org/officeDocument/2006/customXml" ds:itemID="{5B8ED923-BE08-4742-8B50-031D1D27DB61}"/>
</file>

<file path=customXml/itemProps4.xml><?xml version="1.0" encoding="utf-8"?>
<ds:datastoreItem xmlns:ds="http://schemas.openxmlformats.org/officeDocument/2006/customXml" ds:itemID="{125D0B4E-E405-4FE7-A1C1-1E0F9B0E029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