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896"/>
        <w:gridCol w:w="4896"/>
      </w:tblGrid>
      <w:tr>
        <w:tc>
          <w:tcPr>
            <w:tcW w:type="dxa" w:w="6624"/>
          </w:tcPr>
          <w:p>
            <w:r>
              <w:rPr>
                <w:rFonts w:ascii="Calibri" w:hAnsi="Calibri"/>
                <w:b/>
                <w:i w:val="0"/>
                <w:color w:val="123B4F"/>
                <w:sz w:val="32"/>
              </w:rPr>
              <w:t>EQUATOR RESOLUTION</w:t>
            </w:r>
          </w:p>
          <w:p>
            <w:pPr>
              <w:spacing w:after="0"/>
            </w:pPr>
            <w:r>
              <w:rPr>
                <w:rFonts w:ascii="Calibri" w:hAnsi="Calibri"/>
                <w:b w:val="0"/>
                <w:i/>
                <w:color w:val="1E7A8C"/>
                <w:sz w:val="17"/>
              </w:rPr>
              <w:t>Institutional Mediation &amp; Online Dispute Resolution</w:t>
            </w:r>
          </w:p>
          <w:p>
            <w:pPr>
              <w:spacing w:after="0"/>
            </w:pPr>
            <w:r>
              <w:rPr>
                <w:rFonts w:ascii="Calibri" w:hAnsi="Calibri"/>
                <w:b w:val="0"/>
                <w:i w:val="0"/>
                <w:color w:val="556168"/>
                <w:sz w:val="16"/>
              </w:rPr>
              <w:t>www.equatorresolution.com  ·  An Infrabyx Group Venture</w:t>
            </w:r>
          </w:p>
        </w:tc>
        <w:tc>
          <w:tcPr>
            <w:tcW w:type="dxa" w:w="3168"/>
          </w:tcPr>
          <w:p>
            <w:pPr>
              <w:jc w:val="right"/>
            </w:pPr>
            <w:r>
              <w:rPr>
                <w:rFonts w:ascii="Calibri" w:hAnsi="Calibri"/>
                <w:b/>
                <w:i w:val="0"/>
                <w:color w:val="C6A15B"/>
                <w:sz w:val="22"/>
              </w:rPr>
              <w:t>Form F-I12</w:t>
            </w:r>
          </w:p>
          <w:p>
            <w:pPr>
              <w:spacing w:after="0"/>
              <w:jc w:val="right"/>
            </w:pPr>
            <w:r>
              <w:rPr>
                <w:rFonts w:ascii="Calibri" w:hAnsi="Calibri"/>
                <w:b w:val="0"/>
                <w:i w:val="0"/>
                <w:color w:val="556168"/>
                <w:sz w:val="16"/>
              </w:rPr>
              <w:t>Insurance Dispute Vertical</w:t>
            </w:r>
          </w:p>
          <w:p>
            <w:pPr>
              <w:spacing w:after="0"/>
              <w:jc w:val="right"/>
            </w:pPr>
            <w:r>
              <w:rPr>
                <w:rFonts w:ascii="Calibri" w:hAnsi="Calibri"/>
                <w:b w:val="0"/>
                <w:i w:val="0"/>
                <w:color w:val="556168"/>
                <w:sz w:val="16"/>
              </w:rPr>
              <w:t>Confidential</w:t>
            </w:r>
          </w:p>
        </w:tc>
      </w:tr>
    </w:tbl>
    <w:p>
      <w:pPr>
        <w:spacing w:after="120"/>
        <w:pBdr>
          <w:bottom w:val="single" w:sz="14" w:space="1" w:color="C6A15B"/>
        </w:pBdr>
      </w:pPr>
    </w:p>
    <w:p>
      <w:pPr>
        <w:spacing w:after="40"/>
      </w:pPr>
      <w:r>
        <w:rPr>
          <w:rFonts w:ascii="Calibri" w:hAnsi="Calibri"/>
          <w:b/>
          <w:i w:val="0"/>
          <w:color w:val="123B4F"/>
          <w:sz w:val="30"/>
        </w:rPr>
        <w:t>Commercial Lines Claim Schedule (Fire, Marine, Engineering, Liability)</w:t>
      </w:r>
    </w:p>
    <w:p>
      <w:pPr>
        <w:spacing w:after="120"/>
      </w:pPr>
      <w:r>
        <w:rPr>
          <w:rFonts w:ascii="Calibri" w:hAnsi="Calibri"/>
          <w:b w:val="0"/>
          <w:i/>
          <w:color w:val="556168"/>
          <w:sz w:val="19"/>
        </w:rPr>
        <w:t>For business policies. Also records whether any separate arbitration agreement exists.</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896"/>
        <w:gridCol w:w="4896"/>
      </w:tblGrid>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Case No.</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Insured entity &amp; CIN/GST</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Insurer &amp; co-insurers (share %)</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Policy no.</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Policy type</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Sum insured / limit of indemnity (₹)</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Basis of sum insured (reinstatement / market value / agreed value)</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Deductible / franchise (₹)</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Broker</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bl>
    <w:p>
      <w:pPr>
        <w:spacing w:after="40"/>
      </w:pPr>
    </w:p>
    <w:tbl>
      <w:tblPr>
        <w:tblW w:type="auto" w:w="0"/>
        <w:tblLayout w:type="fixed"/>
        <w:tblLook w:firstColumn="1" w:firstRow="1" w:lastColumn="0" w:lastRow="0" w:noHBand="0" w:noVBand="1" w:val="04A0"/>
      </w:tblPr>
      <w:tblGrid>
        <w:gridCol w:w="9792"/>
      </w:tblGrid>
      <w:tr>
        <w:tc>
          <w:tcPr>
            <w:tcW w:type="dxa" w:w="9792"/>
            <w:shd w:val="clear" w:color="auto" w:fill="123B4F"/>
            <w:tcMar>
              <w:top w:w="40" w:type="dxa"/>
              <w:bottom w:w="40" w:type="dxa"/>
              <w:start w:w="120" w:type="dxa"/>
              <w:end w:w="120" w:type="dxa"/>
            </w:tcMar>
          </w:tcPr>
          <w:p>
            <w:pPr>
              <w:spacing w:after="0"/>
            </w:pPr>
            <w:r>
              <w:rPr>
                <w:rFonts w:ascii="Calibri" w:hAnsi="Calibri"/>
                <w:b/>
                <w:i w:val="0"/>
                <w:color w:val="FFFFFF"/>
                <w:sz w:val="21"/>
              </w:rPr>
              <w:t>A.  THE LOSS</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896"/>
        <w:gridCol w:w="4896"/>
      </w:tblGrid>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Date &amp; time of loss</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Location</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Peril</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Date intimated</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Date surveyor appointed</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Surveyor &amp; IRDAI licence no.</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Date of final survey report</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Report shared with insured? (Y/N)</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bl>
    <w:p>
      <w:pPr>
        <w:spacing w:after="40"/>
      </w:pPr>
    </w:p>
    <w:tbl>
      <w:tblPr>
        <w:tblW w:type="auto" w:w="0"/>
        <w:tblLayout w:type="fixed"/>
        <w:tblLook w:firstColumn="1" w:firstRow="1" w:lastColumn="0" w:lastRow="0" w:noHBand="0" w:noVBand="1" w:val="04A0"/>
      </w:tblPr>
      <w:tblGrid>
        <w:gridCol w:w="9792"/>
      </w:tblGrid>
      <w:tr>
        <w:tc>
          <w:tcPr>
            <w:tcW w:type="dxa" w:w="9792"/>
            <w:shd w:val="clear" w:color="auto" w:fill="123B4F"/>
            <w:tcMar>
              <w:top w:w="40" w:type="dxa"/>
              <w:bottom w:w="40" w:type="dxa"/>
              <w:start w:w="120" w:type="dxa"/>
              <w:end w:w="120" w:type="dxa"/>
            </w:tcMar>
          </w:tcPr>
          <w:p>
            <w:pPr>
              <w:spacing w:after="0"/>
            </w:pPr>
            <w:r>
              <w:rPr>
                <w:rFonts w:ascii="Calibri" w:hAnsi="Calibri"/>
                <w:b/>
                <w:i w:val="0"/>
                <w:color w:val="FFFFFF"/>
                <w:sz w:val="21"/>
              </w:rPr>
              <w:t>B.  QUANTUM</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1632"/>
        <w:gridCol w:w="1632"/>
        <w:gridCol w:w="1632"/>
        <w:gridCol w:w="1632"/>
        <w:gridCol w:w="1632"/>
        <w:gridCol w:w="1632"/>
      </w:tblGrid>
      <w:tr>
        <w:tc>
          <w:tcPr>
            <w:tcW w:type="dxa" w:w="490"/>
            <w:shd w:val="clear" w:color="auto" w:fill="123B4F"/>
            <w:tcMar>
              <w:top w:w="50" w:type="dxa"/>
              <w:bottom w:w="50" w:type="dxa"/>
              <w:start w:w="100" w:type="dxa"/>
              <w:end w:w="100" w:type="dxa"/>
            </w:tcMar>
          </w:tcPr>
          <w:p>
            <w:pPr>
              <w:spacing w:after="0"/>
            </w:pPr>
            <w:r>
              <w:rPr>
                <w:rFonts w:ascii="Calibri" w:hAnsi="Calibri"/>
                <w:b/>
                <w:i w:val="0"/>
                <w:color w:val="FFFFFF"/>
                <w:sz w:val="17"/>
              </w:rPr>
              <w:t>#</w:t>
            </w:r>
          </w:p>
        </w:tc>
        <w:tc>
          <w:tcPr>
            <w:tcW w:type="dxa" w:w="2448"/>
            <w:shd w:val="clear" w:color="auto" w:fill="123B4F"/>
            <w:tcMar>
              <w:top w:w="50" w:type="dxa"/>
              <w:bottom w:w="50" w:type="dxa"/>
              <w:start w:w="100" w:type="dxa"/>
              <w:end w:w="100" w:type="dxa"/>
            </w:tcMar>
          </w:tcPr>
          <w:p>
            <w:pPr>
              <w:spacing w:after="0"/>
            </w:pPr>
            <w:r>
              <w:rPr>
                <w:rFonts w:ascii="Calibri" w:hAnsi="Calibri"/>
                <w:b/>
                <w:i w:val="0"/>
                <w:color w:val="FFFFFF"/>
                <w:sz w:val="17"/>
              </w:rPr>
              <w:t>Head of loss</w:t>
            </w:r>
          </w:p>
        </w:tc>
        <w:tc>
          <w:tcPr>
            <w:tcW w:type="dxa" w:w="1469"/>
            <w:shd w:val="clear" w:color="auto" w:fill="123B4F"/>
            <w:tcMar>
              <w:top w:w="50" w:type="dxa"/>
              <w:bottom w:w="50" w:type="dxa"/>
              <w:start w:w="100" w:type="dxa"/>
              <w:end w:w="100" w:type="dxa"/>
            </w:tcMar>
          </w:tcPr>
          <w:p>
            <w:pPr>
              <w:spacing w:after="0"/>
            </w:pPr>
            <w:r>
              <w:rPr>
                <w:rFonts w:ascii="Calibri" w:hAnsi="Calibri"/>
                <w:b/>
                <w:i w:val="0"/>
                <w:color w:val="FFFFFF"/>
                <w:sz w:val="17"/>
              </w:rPr>
              <w:t>Claimed (₹)</w:t>
            </w:r>
          </w:p>
        </w:tc>
        <w:tc>
          <w:tcPr>
            <w:tcW w:type="dxa" w:w="1469"/>
            <w:shd w:val="clear" w:color="auto" w:fill="123B4F"/>
            <w:tcMar>
              <w:top w:w="50" w:type="dxa"/>
              <w:bottom w:w="50" w:type="dxa"/>
              <w:start w:w="100" w:type="dxa"/>
              <w:end w:w="100" w:type="dxa"/>
            </w:tcMar>
          </w:tcPr>
          <w:p>
            <w:pPr>
              <w:spacing w:after="0"/>
            </w:pPr>
            <w:r>
              <w:rPr>
                <w:rFonts w:ascii="Calibri" w:hAnsi="Calibri"/>
                <w:b/>
                <w:i w:val="0"/>
                <w:color w:val="FFFFFF"/>
                <w:sz w:val="17"/>
              </w:rPr>
              <w:t>Assessed (₹)</w:t>
            </w:r>
          </w:p>
        </w:tc>
        <w:tc>
          <w:tcPr>
            <w:tcW w:type="dxa" w:w="1371"/>
            <w:shd w:val="clear" w:color="auto" w:fill="123B4F"/>
            <w:tcMar>
              <w:top w:w="50" w:type="dxa"/>
              <w:bottom w:w="50" w:type="dxa"/>
              <w:start w:w="100" w:type="dxa"/>
              <w:end w:w="100" w:type="dxa"/>
            </w:tcMar>
          </w:tcPr>
          <w:p>
            <w:pPr>
              <w:spacing w:after="0"/>
            </w:pPr>
            <w:r>
              <w:rPr>
                <w:rFonts w:ascii="Calibri" w:hAnsi="Calibri"/>
                <w:b/>
                <w:i w:val="0"/>
                <w:color w:val="FFFFFF"/>
                <w:sz w:val="17"/>
              </w:rPr>
              <w:t>Difference (₹)</w:t>
            </w:r>
          </w:p>
        </w:tc>
        <w:tc>
          <w:tcPr>
            <w:tcW w:type="dxa" w:w="2546"/>
            <w:shd w:val="clear" w:color="auto" w:fill="123B4F"/>
            <w:tcMar>
              <w:top w:w="50" w:type="dxa"/>
              <w:bottom w:w="50" w:type="dxa"/>
              <w:start w:w="100" w:type="dxa"/>
              <w:end w:w="100" w:type="dxa"/>
            </w:tcMar>
          </w:tcPr>
          <w:p>
            <w:pPr>
              <w:spacing w:after="0"/>
            </w:pPr>
            <w:r>
              <w:rPr>
                <w:rFonts w:ascii="Calibri" w:hAnsi="Calibri"/>
                <w:b/>
                <w:i w:val="0"/>
                <w:color w:val="FFFFFF"/>
                <w:sz w:val="17"/>
              </w:rPr>
              <w:t>Reason for difference</w:t>
            </w:r>
          </w:p>
        </w:tc>
      </w:tr>
      <w:tr>
        <w:tc>
          <w:tcPr>
            <w:tcW w:type="dxa" w:w="490"/>
            <w:tcMar>
              <w:top w:w="50" w:type="dxa"/>
              <w:bottom w:w="50" w:type="dxa"/>
              <w:start w:w="100" w:type="dxa"/>
              <w:end w:w="100" w:type="dxa"/>
            </w:tcMar>
          </w:tcPr>
          <w:p>
            <w:r>
              <w:t xml:space="preserve"> </w:t>
            </w:r>
          </w:p>
        </w:tc>
        <w:tc>
          <w:tcPr>
            <w:tcW w:type="dxa" w:w="2448"/>
            <w:tcMar>
              <w:top w:w="50" w:type="dxa"/>
              <w:bottom w:w="50" w:type="dxa"/>
              <w:start w:w="100" w:type="dxa"/>
              <w:end w:w="100" w:type="dxa"/>
            </w:tcMar>
          </w:tcPr>
          <w:p>
            <w:r>
              <w:t xml:space="preserve"> </w:t>
            </w:r>
          </w:p>
        </w:tc>
        <w:tc>
          <w:tcPr>
            <w:tcW w:type="dxa" w:w="1469"/>
            <w:tcMar>
              <w:top w:w="50" w:type="dxa"/>
              <w:bottom w:w="50" w:type="dxa"/>
              <w:start w:w="100" w:type="dxa"/>
              <w:end w:w="100" w:type="dxa"/>
            </w:tcMar>
          </w:tcPr>
          <w:p>
            <w:r>
              <w:t xml:space="preserve"> </w:t>
            </w:r>
          </w:p>
        </w:tc>
        <w:tc>
          <w:tcPr>
            <w:tcW w:type="dxa" w:w="1469"/>
            <w:tcMar>
              <w:top w:w="50" w:type="dxa"/>
              <w:bottom w:w="50" w:type="dxa"/>
              <w:start w:w="100" w:type="dxa"/>
              <w:end w:w="100" w:type="dxa"/>
            </w:tcMar>
          </w:tcPr>
          <w:p>
            <w:r>
              <w:t xml:space="preserve"> </w:t>
            </w:r>
          </w:p>
        </w:tc>
        <w:tc>
          <w:tcPr>
            <w:tcW w:type="dxa" w:w="1371"/>
            <w:tcMar>
              <w:top w:w="50" w:type="dxa"/>
              <w:bottom w:w="50" w:type="dxa"/>
              <w:start w:w="100" w:type="dxa"/>
              <w:end w:w="100" w:type="dxa"/>
            </w:tcMar>
          </w:tcPr>
          <w:p>
            <w:r>
              <w:t xml:space="preserve"> </w:t>
            </w:r>
          </w:p>
        </w:tc>
        <w:tc>
          <w:tcPr>
            <w:tcW w:type="dxa" w:w="2546"/>
            <w:tcMar>
              <w:top w:w="50" w:type="dxa"/>
              <w:bottom w:w="50" w:type="dxa"/>
              <w:start w:w="100" w:type="dxa"/>
              <w:end w:w="100" w:type="dxa"/>
            </w:tcMar>
          </w:tcPr>
          <w:p>
            <w:r>
              <w:t xml:space="preserve"> </w:t>
            </w:r>
          </w:p>
        </w:tc>
      </w:tr>
      <w:tr>
        <w:tc>
          <w:tcPr>
            <w:tcW w:type="dxa" w:w="490"/>
            <w:tcMar>
              <w:top w:w="50" w:type="dxa"/>
              <w:bottom w:w="50" w:type="dxa"/>
              <w:start w:w="100" w:type="dxa"/>
              <w:end w:w="100" w:type="dxa"/>
            </w:tcMar>
            <w:shd w:val="clear" w:color="auto" w:fill="F3F7F9"/>
          </w:tcPr>
          <w:p>
            <w:r>
              <w:t xml:space="preserve"> </w:t>
            </w:r>
          </w:p>
        </w:tc>
        <w:tc>
          <w:tcPr>
            <w:tcW w:type="dxa" w:w="2448"/>
            <w:tcMar>
              <w:top w:w="50" w:type="dxa"/>
              <w:bottom w:w="50" w:type="dxa"/>
              <w:start w:w="100" w:type="dxa"/>
              <w:end w:w="100" w:type="dxa"/>
            </w:tcMar>
            <w:shd w:val="clear" w:color="auto" w:fill="F3F7F9"/>
          </w:tcPr>
          <w:p>
            <w:r>
              <w:t xml:space="preserve"> </w:t>
            </w:r>
          </w:p>
        </w:tc>
        <w:tc>
          <w:tcPr>
            <w:tcW w:type="dxa" w:w="1469"/>
            <w:tcMar>
              <w:top w:w="50" w:type="dxa"/>
              <w:bottom w:w="50" w:type="dxa"/>
              <w:start w:w="100" w:type="dxa"/>
              <w:end w:w="100" w:type="dxa"/>
            </w:tcMar>
            <w:shd w:val="clear" w:color="auto" w:fill="F3F7F9"/>
          </w:tcPr>
          <w:p>
            <w:r>
              <w:t xml:space="preserve"> </w:t>
            </w:r>
          </w:p>
        </w:tc>
        <w:tc>
          <w:tcPr>
            <w:tcW w:type="dxa" w:w="1469"/>
            <w:tcMar>
              <w:top w:w="50" w:type="dxa"/>
              <w:bottom w:w="50" w:type="dxa"/>
              <w:start w:w="100" w:type="dxa"/>
              <w:end w:w="100" w:type="dxa"/>
            </w:tcMar>
            <w:shd w:val="clear" w:color="auto" w:fill="F3F7F9"/>
          </w:tcPr>
          <w:p>
            <w:r>
              <w:t xml:space="preserve"> </w:t>
            </w:r>
          </w:p>
        </w:tc>
        <w:tc>
          <w:tcPr>
            <w:tcW w:type="dxa" w:w="1371"/>
            <w:tcMar>
              <w:top w:w="50" w:type="dxa"/>
              <w:bottom w:w="50" w:type="dxa"/>
              <w:start w:w="100" w:type="dxa"/>
              <w:end w:w="100" w:type="dxa"/>
            </w:tcMar>
            <w:shd w:val="clear" w:color="auto" w:fill="F3F7F9"/>
          </w:tcPr>
          <w:p>
            <w:r>
              <w:t xml:space="preserve"> </w:t>
            </w:r>
          </w:p>
        </w:tc>
        <w:tc>
          <w:tcPr>
            <w:tcW w:type="dxa" w:w="2546"/>
            <w:tcMar>
              <w:top w:w="50" w:type="dxa"/>
              <w:bottom w:w="50" w:type="dxa"/>
              <w:start w:w="100" w:type="dxa"/>
              <w:end w:w="100" w:type="dxa"/>
            </w:tcMar>
            <w:shd w:val="clear" w:color="auto" w:fill="F3F7F9"/>
          </w:tcPr>
          <w:p>
            <w:r>
              <w:t xml:space="preserve"> </w:t>
            </w:r>
          </w:p>
        </w:tc>
      </w:tr>
      <w:tr>
        <w:tc>
          <w:tcPr>
            <w:tcW w:type="dxa" w:w="490"/>
            <w:tcMar>
              <w:top w:w="50" w:type="dxa"/>
              <w:bottom w:w="50" w:type="dxa"/>
              <w:start w:w="100" w:type="dxa"/>
              <w:end w:w="100" w:type="dxa"/>
            </w:tcMar>
          </w:tcPr>
          <w:p>
            <w:r>
              <w:t xml:space="preserve"> </w:t>
            </w:r>
          </w:p>
        </w:tc>
        <w:tc>
          <w:tcPr>
            <w:tcW w:type="dxa" w:w="2448"/>
            <w:tcMar>
              <w:top w:w="50" w:type="dxa"/>
              <w:bottom w:w="50" w:type="dxa"/>
              <w:start w:w="100" w:type="dxa"/>
              <w:end w:w="100" w:type="dxa"/>
            </w:tcMar>
          </w:tcPr>
          <w:p>
            <w:r>
              <w:t xml:space="preserve"> </w:t>
            </w:r>
          </w:p>
        </w:tc>
        <w:tc>
          <w:tcPr>
            <w:tcW w:type="dxa" w:w="1469"/>
            <w:tcMar>
              <w:top w:w="50" w:type="dxa"/>
              <w:bottom w:w="50" w:type="dxa"/>
              <w:start w:w="100" w:type="dxa"/>
              <w:end w:w="100" w:type="dxa"/>
            </w:tcMar>
          </w:tcPr>
          <w:p>
            <w:r>
              <w:t xml:space="preserve"> </w:t>
            </w:r>
          </w:p>
        </w:tc>
        <w:tc>
          <w:tcPr>
            <w:tcW w:type="dxa" w:w="1469"/>
            <w:tcMar>
              <w:top w:w="50" w:type="dxa"/>
              <w:bottom w:w="50" w:type="dxa"/>
              <w:start w:w="100" w:type="dxa"/>
              <w:end w:w="100" w:type="dxa"/>
            </w:tcMar>
          </w:tcPr>
          <w:p>
            <w:r>
              <w:t xml:space="preserve"> </w:t>
            </w:r>
          </w:p>
        </w:tc>
        <w:tc>
          <w:tcPr>
            <w:tcW w:type="dxa" w:w="1371"/>
            <w:tcMar>
              <w:top w:w="50" w:type="dxa"/>
              <w:bottom w:w="50" w:type="dxa"/>
              <w:start w:w="100" w:type="dxa"/>
              <w:end w:w="100" w:type="dxa"/>
            </w:tcMar>
          </w:tcPr>
          <w:p>
            <w:r>
              <w:t xml:space="preserve"> </w:t>
            </w:r>
          </w:p>
        </w:tc>
        <w:tc>
          <w:tcPr>
            <w:tcW w:type="dxa" w:w="2546"/>
            <w:tcMar>
              <w:top w:w="50" w:type="dxa"/>
              <w:bottom w:w="50" w:type="dxa"/>
              <w:start w:w="100" w:type="dxa"/>
              <w:end w:w="100" w:type="dxa"/>
            </w:tcMar>
          </w:tcPr>
          <w:p>
            <w:r>
              <w:t xml:space="preserve"> </w:t>
            </w:r>
          </w:p>
        </w:tc>
      </w:tr>
      <w:tr>
        <w:tc>
          <w:tcPr>
            <w:tcW w:type="dxa" w:w="490"/>
            <w:tcMar>
              <w:top w:w="50" w:type="dxa"/>
              <w:bottom w:w="50" w:type="dxa"/>
              <w:start w:w="100" w:type="dxa"/>
              <w:end w:w="100" w:type="dxa"/>
            </w:tcMar>
            <w:shd w:val="clear" w:color="auto" w:fill="F3F7F9"/>
          </w:tcPr>
          <w:p>
            <w:r>
              <w:t xml:space="preserve"> </w:t>
            </w:r>
          </w:p>
        </w:tc>
        <w:tc>
          <w:tcPr>
            <w:tcW w:type="dxa" w:w="2448"/>
            <w:tcMar>
              <w:top w:w="50" w:type="dxa"/>
              <w:bottom w:w="50" w:type="dxa"/>
              <w:start w:w="100" w:type="dxa"/>
              <w:end w:w="100" w:type="dxa"/>
            </w:tcMar>
            <w:shd w:val="clear" w:color="auto" w:fill="F3F7F9"/>
          </w:tcPr>
          <w:p>
            <w:r>
              <w:t xml:space="preserve"> </w:t>
            </w:r>
          </w:p>
        </w:tc>
        <w:tc>
          <w:tcPr>
            <w:tcW w:type="dxa" w:w="1469"/>
            <w:tcMar>
              <w:top w:w="50" w:type="dxa"/>
              <w:bottom w:w="50" w:type="dxa"/>
              <w:start w:w="100" w:type="dxa"/>
              <w:end w:w="100" w:type="dxa"/>
            </w:tcMar>
            <w:shd w:val="clear" w:color="auto" w:fill="F3F7F9"/>
          </w:tcPr>
          <w:p>
            <w:r>
              <w:t xml:space="preserve"> </w:t>
            </w:r>
          </w:p>
        </w:tc>
        <w:tc>
          <w:tcPr>
            <w:tcW w:type="dxa" w:w="1469"/>
            <w:tcMar>
              <w:top w:w="50" w:type="dxa"/>
              <w:bottom w:w="50" w:type="dxa"/>
              <w:start w:w="100" w:type="dxa"/>
              <w:end w:w="100" w:type="dxa"/>
            </w:tcMar>
            <w:shd w:val="clear" w:color="auto" w:fill="F3F7F9"/>
          </w:tcPr>
          <w:p>
            <w:r>
              <w:t xml:space="preserve"> </w:t>
            </w:r>
          </w:p>
        </w:tc>
        <w:tc>
          <w:tcPr>
            <w:tcW w:type="dxa" w:w="1371"/>
            <w:tcMar>
              <w:top w:w="50" w:type="dxa"/>
              <w:bottom w:w="50" w:type="dxa"/>
              <w:start w:w="100" w:type="dxa"/>
              <w:end w:w="100" w:type="dxa"/>
            </w:tcMar>
            <w:shd w:val="clear" w:color="auto" w:fill="F3F7F9"/>
          </w:tcPr>
          <w:p>
            <w:r>
              <w:t xml:space="preserve"> </w:t>
            </w:r>
          </w:p>
        </w:tc>
        <w:tc>
          <w:tcPr>
            <w:tcW w:type="dxa" w:w="2546"/>
            <w:tcMar>
              <w:top w:w="50" w:type="dxa"/>
              <w:bottom w:w="50" w:type="dxa"/>
              <w:start w:w="100" w:type="dxa"/>
              <w:end w:w="100" w:type="dxa"/>
            </w:tcMar>
            <w:shd w:val="clear" w:color="auto" w:fill="F3F7F9"/>
          </w:tcPr>
          <w:p>
            <w:r>
              <w:t xml:space="preserve"> </w:t>
            </w:r>
          </w:p>
        </w:tc>
      </w:tr>
      <w:tr>
        <w:tc>
          <w:tcPr>
            <w:tcW w:type="dxa" w:w="490"/>
            <w:tcMar>
              <w:top w:w="50" w:type="dxa"/>
              <w:bottom w:w="50" w:type="dxa"/>
              <w:start w:w="100" w:type="dxa"/>
              <w:end w:w="100" w:type="dxa"/>
            </w:tcMar>
          </w:tcPr>
          <w:p>
            <w:r>
              <w:t xml:space="preserve"> </w:t>
            </w:r>
          </w:p>
        </w:tc>
        <w:tc>
          <w:tcPr>
            <w:tcW w:type="dxa" w:w="2448"/>
            <w:tcMar>
              <w:top w:w="50" w:type="dxa"/>
              <w:bottom w:w="50" w:type="dxa"/>
              <w:start w:w="100" w:type="dxa"/>
              <w:end w:w="100" w:type="dxa"/>
            </w:tcMar>
          </w:tcPr>
          <w:p>
            <w:r>
              <w:t xml:space="preserve"> </w:t>
            </w:r>
          </w:p>
        </w:tc>
        <w:tc>
          <w:tcPr>
            <w:tcW w:type="dxa" w:w="1469"/>
            <w:tcMar>
              <w:top w:w="50" w:type="dxa"/>
              <w:bottom w:w="50" w:type="dxa"/>
              <w:start w:w="100" w:type="dxa"/>
              <w:end w:w="100" w:type="dxa"/>
            </w:tcMar>
          </w:tcPr>
          <w:p>
            <w:r>
              <w:t xml:space="preserve"> </w:t>
            </w:r>
          </w:p>
        </w:tc>
        <w:tc>
          <w:tcPr>
            <w:tcW w:type="dxa" w:w="1469"/>
            <w:tcMar>
              <w:top w:w="50" w:type="dxa"/>
              <w:bottom w:w="50" w:type="dxa"/>
              <w:start w:w="100" w:type="dxa"/>
              <w:end w:w="100" w:type="dxa"/>
            </w:tcMar>
          </w:tcPr>
          <w:p>
            <w:r>
              <w:t xml:space="preserve"> </w:t>
            </w:r>
          </w:p>
        </w:tc>
        <w:tc>
          <w:tcPr>
            <w:tcW w:type="dxa" w:w="1371"/>
            <w:tcMar>
              <w:top w:w="50" w:type="dxa"/>
              <w:bottom w:w="50" w:type="dxa"/>
              <w:start w:w="100" w:type="dxa"/>
              <w:end w:w="100" w:type="dxa"/>
            </w:tcMar>
          </w:tcPr>
          <w:p>
            <w:r>
              <w:t xml:space="preserve"> </w:t>
            </w:r>
          </w:p>
        </w:tc>
        <w:tc>
          <w:tcPr>
            <w:tcW w:type="dxa" w:w="2546"/>
            <w:tcMar>
              <w:top w:w="50" w:type="dxa"/>
              <w:bottom w:w="50" w:type="dxa"/>
              <w:start w:w="100" w:type="dxa"/>
              <w:end w:w="100" w:type="dxa"/>
            </w:tcMar>
          </w:tcPr>
          <w:p>
            <w:r>
              <w:t xml:space="preserve"> </w:t>
            </w:r>
          </w:p>
        </w:tc>
      </w:tr>
      <w:tr>
        <w:tc>
          <w:tcPr>
            <w:tcW w:type="dxa" w:w="490"/>
            <w:tcMar>
              <w:top w:w="50" w:type="dxa"/>
              <w:bottom w:w="50" w:type="dxa"/>
              <w:start w:w="100" w:type="dxa"/>
              <w:end w:w="100" w:type="dxa"/>
            </w:tcMar>
            <w:shd w:val="clear" w:color="auto" w:fill="F3F7F9"/>
          </w:tcPr>
          <w:p>
            <w:r>
              <w:t xml:space="preserve"> </w:t>
            </w:r>
          </w:p>
        </w:tc>
        <w:tc>
          <w:tcPr>
            <w:tcW w:type="dxa" w:w="2448"/>
            <w:tcMar>
              <w:top w:w="50" w:type="dxa"/>
              <w:bottom w:w="50" w:type="dxa"/>
              <w:start w:w="100" w:type="dxa"/>
              <w:end w:w="100" w:type="dxa"/>
            </w:tcMar>
            <w:shd w:val="clear" w:color="auto" w:fill="F3F7F9"/>
          </w:tcPr>
          <w:p>
            <w:r>
              <w:t xml:space="preserve"> </w:t>
            </w:r>
          </w:p>
        </w:tc>
        <w:tc>
          <w:tcPr>
            <w:tcW w:type="dxa" w:w="1469"/>
            <w:tcMar>
              <w:top w:w="50" w:type="dxa"/>
              <w:bottom w:w="50" w:type="dxa"/>
              <w:start w:w="100" w:type="dxa"/>
              <w:end w:w="100" w:type="dxa"/>
            </w:tcMar>
            <w:shd w:val="clear" w:color="auto" w:fill="F3F7F9"/>
          </w:tcPr>
          <w:p>
            <w:r>
              <w:t xml:space="preserve"> </w:t>
            </w:r>
          </w:p>
        </w:tc>
        <w:tc>
          <w:tcPr>
            <w:tcW w:type="dxa" w:w="1469"/>
            <w:tcMar>
              <w:top w:w="50" w:type="dxa"/>
              <w:bottom w:w="50" w:type="dxa"/>
              <w:start w:w="100" w:type="dxa"/>
              <w:end w:w="100" w:type="dxa"/>
            </w:tcMar>
            <w:shd w:val="clear" w:color="auto" w:fill="F3F7F9"/>
          </w:tcPr>
          <w:p>
            <w:r>
              <w:t xml:space="preserve"> </w:t>
            </w:r>
          </w:p>
        </w:tc>
        <w:tc>
          <w:tcPr>
            <w:tcW w:type="dxa" w:w="1371"/>
            <w:tcMar>
              <w:top w:w="50" w:type="dxa"/>
              <w:bottom w:w="50" w:type="dxa"/>
              <w:start w:w="100" w:type="dxa"/>
              <w:end w:w="100" w:type="dxa"/>
            </w:tcMar>
            <w:shd w:val="clear" w:color="auto" w:fill="F3F7F9"/>
          </w:tcPr>
          <w:p>
            <w:r>
              <w:t xml:space="preserve"> </w:t>
            </w:r>
          </w:p>
        </w:tc>
        <w:tc>
          <w:tcPr>
            <w:tcW w:type="dxa" w:w="2546"/>
            <w:tcMar>
              <w:top w:w="50" w:type="dxa"/>
              <w:bottom w:w="50" w:type="dxa"/>
              <w:start w:w="100" w:type="dxa"/>
              <w:end w:w="100" w:type="dxa"/>
            </w:tcMar>
            <w:shd w:val="clear" w:color="auto" w:fill="F3F7F9"/>
          </w:tcPr>
          <w:p>
            <w:r>
              <w:t xml:space="preserve"> </w:t>
            </w:r>
          </w:p>
        </w:tc>
      </w:tr>
      <w:tr>
        <w:tc>
          <w:tcPr>
            <w:tcW w:type="dxa" w:w="490"/>
            <w:tcMar>
              <w:top w:w="50" w:type="dxa"/>
              <w:bottom w:w="50" w:type="dxa"/>
              <w:start w:w="100" w:type="dxa"/>
              <w:end w:w="100" w:type="dxa"/>
            </w:tcMar>
          </w:tcPr>
          <w:p>
            <w:r>
              <w:t xml:space="preserve"> </w:t>
            </w:r>
          </w:p>
        </w:tc>
        <w:tc>
          <w:tcPr>
            <w:tcW w:type="dxa" w:w="2448"/>
            <w:tcMar>
              <w:top w:w="50" w:type="dxa"/>
              <w:bottom w:w="50" w:type="dxa"/>
              <w:start w:w="100" w:type="dxa"/>
              <w:end w:w="100" w:type="dxa"/>
            </w:tcMar>
          </w:tcPr>
          <w:p>
            <w:r>
              <w:t xml:space="preserve"> </w:t>
            </w:r>
          </w:p>
        </w:tc>
        <w:tc>
          <w:tcPr>
            <w:tcW w:type="dxa" w:w="1469"/>
            <w:tcMar>
              <w:top w:w="50" w:type="dxa"/>
              <w:bottom w:w="50" w:type="dxa"/>
              <w:start w:w="100" w:type="dxa"/>
              <w:end w:w="100" w:type="dxa"/>
            </w:tcMar>
          </w:tcPr>
          <w:p>
            <w:r>
              <w:t xml:space="preserve"> </w:t>
            </w:r>
          </w:p>
        </w:tc>
        <w:tc>
          <w:tcPr>
            <w:tcW w:type="dxa" w:w="1469"/>
            <w:tcMar>
              <w:top w:w="50" w:type="dxa"/>
              <w:bottom w:w="50" w:type="dxa"/>
              <w:start w:w="100" w:type="dxa"/>
              <w:end w:w="100" w:type="dxa"/>
            </w:tcMar>
          </w:tcPr>
          <w:p>
            <w:r>
              <w:t xml:space="preserve"> </w:t>
            </w:r>
          </w:p>
        </w:tc>
        <w:tc>
          <w:tcPr>
            <w:tcW w:type="dxa" w:w="1371"/>
            <w:tcMar>
              <w:top w:w="50" w:type="dxa"/>
              <w:bottom w:w="50" w:type="dxa"/>
              <w:start w:w="100" w:type="dxa"/>
              <w:end w:w="100" w:type="dxa"/>
            </w:tcMar>
          </w:tcPr>
          <w:p>
            <w:r>
              <w:t xml:space="preserve"> </w:t>
            </w:r>
          </w:p>
        </w:tc>
        <w:tc>
          <w:tcPr>
            <w:tcW w:type="dxa" w:w="2546"/>
            <w:tcMar>
              <w:top w:w="50" w:type="dxa"/>
              <w:bottom w:w="50" w:type="dxa"/>
              <w:start w:w="100" w:type="dxa"/>
              <w:end w:w="100" w:type="dxa"/>
            </w:tcMar>
          </w:tcPr>
          <w:p>
            <w:r>
              <w:t xml:space="preserve"> </w:t>
            </w:r>
          </w:p>
        </w:tc>
      </w:tr>
      <w:tr>
        <w:tc>
          <w:tcPr>
            <w:tcW w:type="dxa" w:w="490"/>
            <w:tcMar>
              <w:top w:w="50" w:type="dxa"/>
              <w:bottom w:w="50" w:type="dxa"/>
              <w:start w:w="100" w:type="dxa"/>
              <w:end w:w="100" w:type="dxa"/>
            </w:tcMar>
            <w:shd w:val="clear" w:color="auto" w:fill="F3F7F9"/>
          </w:tcPr>
          <w:p>
            <w:r>
              <w:t xml:space="preserve"> </w:t>
            </w:r>
          </w:p>
        </w:tc>
        <w:tc>
          <w:tcPr>
            <w:tcW w:type="dxa" w:w="2448"/>
            <w:tcMar>
              <w:top w:w="50" w:type="dxa"/>
              <w:bottom w:w="50" w:type="dxa"/>
              <w:start w:w="100" w:type="dxa"/>
              <w:end w:w="100" w:type="dxa"/>
            </w:tcMar>
            <w:shd w:val="clear" w:color="auto" w:fill="F3F7F9"/>
          </w:tcPr>
          <w:p>
            <w:r>
              <w:t xml:space="preserve"> </w:t>
            </w:r>
          </w:p>
        </w:tc>
        <w:tc>
          <w:tcPr>
            <w:tcW w:type="dxa" w:w="1469"/>
            <w:tcMar>
              <w:top w:w="50" w:type="dxa"/>
              <w:bottom w:w="50" w:type="dxa"/>
              <w:start w:w="100" w:type="dxa"/>
              <w:end w:w="100" w:type="dxa"/>
            </w:tcMar>
            <w:shd w:val="clear" w:color="auto" w:fill="F3F7F9"/>
          </w:tcPr>
          <w:p>
            <w:r>
              <w:t xml:space="preserve"> </w:t>
            </w:r>
          </w:p>
        </w:tc>
        <w:tc>
          <w:tcPr>
            <w:tcW w:type="dxa" w:w="1469"/>
            <w:tcMar>
              <w:top w:w="50" w:type="dxa"/>
              <w:bottom w:w="50" w:type="dxa"/>
              <w:start w:w="100" w:type="dxa"/>
              <w:end w:w="100" w:type="dxa"/>
            </w:tcMar>
            <w:shd w:val="clear" w:color="auto" w:fill="F3F7F9"/>
          </w:tcPr>
          <w:p>
            <w:r>
              <w:t xml:space="preserve"> </w:t>
            </w:r>
          </w:p>
        </w:tc>
        <w:tc>
          <w:tcPr>
            <w:tcW w:type="dxa" w:w="1371"/>
            <w:tcMar>
              <w:top w:w="50" w:type="dxa"/>
              <w:bottom w:w="50" w:type="dxa"/>
              <w:start w:w="100" w:type="dxa"/>
              <w:end w:w="100" w:type="dxa"/>
            </w:tcMar>
            <w:shd w:val="clear" w:color="auto" w:fill="F3F7F9"/>
          </w:tcPr>
          <w:p>
            <w:r>
              <w:t xml:space="preserve"> </w:t>
            </w:r>
          </w:p>
        </w:tc>
        <w:tc>
          <w:tcPr>
            <w:tcW w:type="dxa" w:w="2546"/>
            <w:tcMar>
              <w:top w:w="50" w:type="dxa"/>
              <w:bottom w:w="50" w:type="dxa"/>
              <w:start w:w="100" w:type="dxa"/>
              <w:end w:w="100" w:type="dxa"/>
            </w:tcMar>
            <w:shd w:val="clear" w:color="auto" w:fill="F3F7F9"/>
          </w:tcPr>
          <w:p>
            <w:r>
              <w:t xml:space="preserve"> </w:t>
            </w:r>
          </w:p>
        </w:tc>
      </w:tr>
      <w:tr>
        <w:tc>
          <w:tcPr>
            <w:tcW w:type="dxa" w:w="490"/>
            <w:tcMar>
              <w:top w:w="50" w:type="dxa"/>
              <w:bottom w:w="50" w:type="dxa"/>
              <w:start w:w="100" w:type="dxa"/>
              <w:end w:w="100" w:type="dxa"/>
            </w:tcMar>
          </w:tcPr>
          <w:p>
            <w:r>
              <w:t xml:space="preserve"> </w:t>
            </w:r>
          </w:p>
        </w:tc>
        <w:tc>
          <w:tcPr>
            <w:tcW w:type="dxa" w:w="2448"/>
            <w:tcMar>
              <w:top w:w="50" w:type="dxa"/>
              <w:bottom w:w="50" w:type="dxa"/>
              <w:start w:w="100" w:type="dxa"/>
              <w:end w:w="100" w:type="dxa"/>
            </w:tcMar>
          </w:tcPr>
          <w:p>
            <w:r>
              <w:t xml:space="preserve"> </w:t>
            </w:r>
          </w:p>
        </w:tc>
        <w:tc>
          <w:tcPr>
            <w:tcW w:type="dxa" w:w="1469"/>
            <w:tcMar>
              <w:top w:w="50" w:type="dxa"/>
              <w:bottom w:w="50" w:type="dxa"/>
              <w:start w:w="100" w:type="dxa"/>
              <w:end w:w="100" w:type="dxa"/>
            </w:tcMar>
          </w:tcPr>
          <w:p>
            <w:r>
              <w:t xml:space="preserve"> </w:t>
            </w:r>
          </w:p>
        </w:tc>
        <w:tc>
          <w:tcPr>
            <w:tcW w:type="dxa" w:w="1469"/>
            <w:tcMar>
              <w:top w:w="50" w:type="dxa"/>
              <w:bottom w:w="50" w:type="dxa"/>
              <w:start w:w="100" w:type="dxa"/>
              <w:end w:w="100" w:type="dxa"/>
            </w:tcMar>
          </w:tcPr>
          <w:p>
            <w:r>
              <w:t xml:space="preserve"> </w:t>
            </w:r>
          </w:p>
        </w:tc>
        <w:tc>
          <w:tcPr>
            <w:tcW w:type="dxa" w:w="1371"/>
            <w:tcMar>
              <w:top w:w="50" w:type="dxa"/>
              <w:bottom w:w="50" w:type="dxa"/>
              <w:start w:w="100" w:type="dxa"/>
              <w:end w:w="100" w:type="dxa"/>
            </w:tcMar>
          </w:tcPr>
          <w:p>
            <w:r>
              <w:t xml:space="preserve"> </w:t>
            </w:r>
          </w:p>
        </w:tc>
        <w:tc>
          <w:tcPr>
            <w:tcW w:type="dxa" w:w="2546"/>
            <w:tcMar>
              <w:top w:w="50" w:type="dxa"/>
              <w:bottom w:w="50" w:type="dxa"/>
              <w:start w:w="100" w:type="dxa"/>
              <w:end w:w="100" w:type="dxa"/>
            </w:tcMar>
          </w:tcPr>
          <w:p>
            <w:r>
              <w:t xml:space="preserve"> </w:t>
            </w:r>
          </w:p>
        </w:tc>
      </w:tr>
      <w:tr>
        <w:tc>
          <w:tcPr>
            <w:tcW w:type="dxa" w:w="490"/>
            <w:tcMar>
              <w:top w:w="50" w:type="dxa"/>
              <w:bottom w:w="50" w:type="dxa"/>
              <w:start w:w="100" w:type="dxa"/>
              <w:end w:w="100" w:type="dxa"/>
            </w:tcMar>
            <w:shd w:val="clear" w:color="auto" w:fill="F3F7F9"/>
          </w:tcPr>
          <w:p>
            <w:r>
              <w:t xml:space="preserve"> </w:t>
            </w:r>
          </w:p>
        </w:tc>
        <w:tc>
          <w:tcPr>
            <w:tcW w:type="dxa" w:w="2448"/>
            <w:tcMar>
              <w:top w:w="50" w:type="dxa"/>
              <w:bottom w:w="50" w:type="dxa"/>
              <w:start w:w="100" w:type="dxa"/>
              <w:end w:w="100" w:type="dxa"/>
            </w:tcMar>
            <w:shd w:val="clear" w:color="auto" w:fill="F3F7F9"/>
          </w:tcPr>
          <w:p>
            <w:r>
              <w:t xml:space="preserve"> </w:t>
            </w:r>
          </w:p>
        </w:tc>
        <w:tc>
          <w:tcPr>
            <w:tcW w:type="dxa" w:w="1469"/>
            <w:tcMar>
              <w:top w:w="50" w:type="dxa"/>
              <w:bottom w:w="50" w:type="dxa"/>
              <w:start w:w="100" w:type="dxa"/>
              <w:end w:w="100" w:type="dxa"/>
            </w:tcMar>
            <w:shd w:val="clear" w:color="auto" w:fill="F3F7F9"/>
          </w:tcPr>
          <w:p>
            <w:r>
              <w:t xml:space="preserve"> </w:t>
            </w:r>
          </w:p>
        </w:tc>
        <w:tc>
          <w:tcPr>
            <w:tcW w:type="dxa" w:w="1469"/>
            <w:tcMar>
              <w:top w:w="50" w:type="dxa"/>
              <w:bottom w:w="50" w:type="dxa"/>
              <w:start w:w="100" w:type="dxa"/>
              <w:end w:w="100" w:type="dxa"/>
            </w:tcMar>
            <w:shd w:val="clear" w:color="auto" w:fill="F3F7F9"/>
          </w:tcPr>
          <w:p>
            <w:r>
              <w:t xml:space="preserve"> </w:t>
            </w:r>
          </w:p>
        </w:tc>
        <w:tc>
          <w:tcPr>
            <w:tcW w:type="dxa" w:w="1371"/>
            <w:tcMar>
              <w:top w:w="50" w:type="dxa"/>
              <w:bottom w:w="50" w:type="dxa"/>
              <w:start w:w="100" w:type="dxa"/>
              <w:end w:w="100" w:type="dxa"/>
            </w:tcMar>
            <w:shd w:val="clear" w:color="auto" w:fill="F3F7F9"/>
          </w:tcPr>
          <w:p>
            <w:r>
              <w:t xml:space="preserve"> </w:t>
            </w:r>
          </w:p>
        </w:tc>
        <w:tc>
          <w:tcPr>
            <w:tcW w:type="dxa" w:w="2546"/>
            <w:tcMar>
              <w:top w:w="50" w:type="dxa"/>
              <w:bottom w:w="50" w:type="dxa"/>
              <w:start w:w="100" w:type="dxa"/>
              <w:end w:w="100" w:type="dxa"/>
            </w:tcMar>
            <w:shd w:val="clear" w:color="auto" w:fill="F3F7F9"/>
          </w:tcPr>
          <w:p>
            <w:r>
              <w:t xml:space="preserve"> </w:t>
            </w:r>
          </w:p>
        </w:tc>
      </w:tr>
    </w:tbl>
    <w:p>
      <w:pPr>
        <w:spacing w:after="4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896"/>
        <w:gridCol w:w="4896"/>
      </w:tblGrid>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Gross claim (₹)</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Net assessed (₹)</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Amount on account / interim paid (₹)</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Business interruption claimed (₹)</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Indemnity period</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bl>
    <w:p>
      <w:pPr>
        <w:spacing w:after="40"/>
      </w:pPr>
    </w:p>
    <w:tbl>
      <w:tblPr>
        <w:tblW w:type="auto" w:w="0"/>
        <w:tblLayout w:type="fixed"/>
        <w:tblLook w:firstColumn="1" w:firstRow="1" w:lastColumn="0" w:lastRow="0" w:noHBand="0" w:noVBand="1" w:val="04A0"/>
      </w:tblPr>
      <w:tblGrid>
        <w:gridCol w:w="9792"/>
      </w:tblGrid>
      <w:tr>
        <w:tc>
          <w:tcPr>
            <w:tcW w:type="dxa" w:w="9792"/>
            <w:shd w:val="clear" w:color="auto" w:fill="123B4F"/>
            <w:tcMar>
              <w:top w:w="40" w:type="dxa"/>
              <w:bottom w:w="40" w:type="dxa"/>
              <w:start w:w="120" w:type="dxa"/>
              <w:end w:w="120" w:type="dxa"/>
            </w:tcMar>
          </w:tcPr>
          <w:p>
            <w:pPr>
              <w:spacing w:after="0"/>
            </w:pPr>
            <w:r>
              <w:rPr>
                <w:rFonts w:ascii="Calibri" w:hAnsi="Calibri"/>
                <w:b/>
                <w:i w:val="0"/>
                <w:color w:val="FFFFFF"/>
                <w:sz w:val="21"/>
              </w:rPr>
              <w:t>C.  UNDERINSURANCE / AVERAGE</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896"/>
        <w:gridCol w:w="4896"/>
      </w:tblGrid>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Value at risk at the date of loss (₹)</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Sum insured (₹)</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Underinsurance % applied</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Average clause applied? (Y/N)</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Is the valuation basis disputed? (Y/N)</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bl>
    <w:p>
      <w:pPr>
        <w:spacing w:after="40"/>
      </w:pPr>
    </w:p>
    <w:tbl>
      <w:tblPr>
        <w:tblW w:type="auto" w:w="0"/>
        <w:tblLayout w:type="fixed"/>
        <w:tblLook w:firstColumn="1" w:firstRow="1" w:lastColumn="0" w:lastRow="0" w:noHBand="0" w:noVBand="1" w:val="04A0"/>
      </w:tblPr>
      <w:tblGrid>
        <w:gridCol w:w="9792"/>
      </w:tblGrid>
      <w:tr>
        <w:tc>
          <w:tcPr>
            <w:tcW w:type="dxa" w:w="9792"/>
            <w:shd w:val="clear" w:color="auto" w:fill="123B4F"/>
            <w:tcMar>
              <w:top w:w="40" w:type="dxa"/>
              <w:bottom w:w="40" w:type="dxa"/>
              <w:start w:w="120" w:type="dxa"/>
              <w:end w:w="120" w:type="dxa"/>
            </w:tcMar>
          </w:tcPr>
          <w:p>
            <w:pPr>
              <w:spacing w:after="0"/>
            </w:pPr>
            <w:r>
              <w:rPr>
                <w:rFonts w:ascii="Calibri" w:hAnsi="Calibri"/>
                <w:b/>
                <w:i w:val="0"/>
                <w:color w:val="FFFFFF"/>
                <w:sz w:val="21"/>
              </w:rPr>
              <w:t>D.  DISPUTED GROUNDS</w:t>
            </w:r>
          </w:p>
        </w:tc>
      </w:tr>
    </w:tbl>
    <w:p>
      <w:pPr>
        <w:spacing w:after="20"/>
      </w:pPr>
    </w:p>
    <w:p>
      <w:pPr>
        <w:spacing w:after="20"/>
      </w:pPr>
      <w:r>
        <w:rPr>
          <w:rFonts w:ascii="Calibri" w:hAnsi="Calibri"/>
          <w:b/>
          <w:i w:val="0"/>
          <w:color w:val="123B4F"/>
          <w:sz w:val="18"/>
        </w:rPr>
        <w:t>Dispute concerns: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896"/>
        <w:gridCol w:w="4896"/>
      </w:tblGrid>
      <w:tr>
        <w:tc>
          <w:tcPr>
            <w:tcW w:type="dxa" w:w="4896"/>
            <w:tcMar>
              <w:top w:w="20" w:type="dxa"/>
              <w:bottom w:w="20" w:type="dxa"/>
              <w:start w:w="40" w:type="dxa"/>
              <w:end w:w="80" w:type="dxa"/>
            </w:tcMar>
          </w:tcPr>
          <w:p>
            <w:pPr>
              <w:spacing w:after="0"/>
            </w:pPr>
            <w:r>
              <w:rPr>
                <w:rFonts w:ascii="Calibri" w:hAnsi="Calibri"/>
                <w:b w:val="0"/>
                <w:i w:val="0"/>
                <w:color w:val="1B2A32"/>
                <w:sz w:val="18"/>
              </w:rPr>
              <w:t>☐  Peril not covered / proximate cause</w:t>
            </w:r>
          </w:p>
        </w:tc>
        <w:tc>
          <w:tcPr>
            <w:tcW w:type="dxa" w:w="4896"/>
            <w:tcMar>
              <w:top w:w="20" w:type="dxa"/>
              <w:bottom w:w="20" w:type="dxa"/>
              <w:start w:w="40" w:type="dxa"/>
              <w:end w:w="80" w:type="dxa"/>
            </w:tcMar>
          </w:tcPr>
          <w:p>
            <w:pPr>
              <w:spacing w:after="0"/>
            </w:pPr>
            <w:r>
              <w:rPr>
                <w:rFonts w:ascii="Calibri" w:hAnsi="Calibri"/>
                <w:b w:val="0"/>
                <w:i w:val="0"/>
                <w:color w:val="1B2A32"/>
                <w:sz w:val="18"/>
              </w:rPr>
              <w:t>☐  Warranty breach</w:t>
            </w:r>
          </w:p>
        </w:tc>
      </w:tr>
      <w:tr>
        <w:tc>
          <w:tcPr>
            <w:tcW w:type="dxa" w:w="4896"/>
            <w:tcMar>
              <w:top w:w="20" w:type="dxa"/>
              <w:bottom w:w="20" w:type="dxa"/>
              <w:start w:w="40" w:type="dxa"/>
              <w:end w:w="80" w:type="dxa"/>
            </w:tcMar>
          </w:tcPr>
          <w:p>
            <w:pPr>
              <w:spacing w:after="0"/>
            </w:pPr>
            <w:r>
              <w:rPr>
                <w:rFonts w:ascii="Calibri" w:hAnsi="Calibri"/>
                <w:b w:val="0"/>
                <w:i w:val="0"/>
                <w:color w:val="1B2A32"/>
                <w:sz w:val="18"/>
              </w:rPr>
              <w:t>☐  Condition precedent not complied with</w:t>
            </w:r>
          </w:p>
        </w:tc>
        <w:tc>
          <w:tcPr>
            <w:tcW w:type="dxa" w:w="4896"/>
            <w:tcMar>
              <w:top w:w="20" w:type="dxa"/>
              <w:bottom w:w="20" w:type="dxa"/>
              <w:start w:w="40" w:type="dxa"/>
              <w:end w:w="80" w:type="dxa"/>
            </w:tcMar>
          </w:tcPr>
          <w:p>
            <w:pPr>
              <w:spacing w:after="0"/>
            </w:pPr>
            <w:r>
              <w:rPr>
                <w:rFonts w:ascii="Calibri" w:hAnsi="Calibri"/>
                <w:b w:val="0"/>
                <w:i w:val="0"/>
                <w:color w:val="1B2A32"/>
                <w:sz w:val="18"/>
              </w:rPr>
              <w:t>☐  Underinsurance / average</w:t>
            </w:r>
          </w:p>
        </w:tc>
      </w:tr>
      <w:tr>
        <w:tc>
          <w:tcPr>
            <w:tcW w:type="dxa" w:w="4896"/>
            <w:tcMar>
              <w:top w:w="20" w:type="dxa"/>
              <w:bottom w:w="20" w:type="dxa"/>
              <w:start w:w="40" w:type="dxa"/>
              <w:end w:w="80" w:type="dxa"/>
            </w:tcMar>
          </w:tcPr>
          <w:p>
            <w:pPr>
              <w:spacing w:after="0"/>
            </w:pPr>
            <w:r>
              <w:rPr>
                <w:rFonts w:ascii="Calibri" w:hAnsi="Calibri"/>
                <w:b w:val="0"/>
                <w:i w:val="0"/>
                <w:color w:val="1B2A32"/>
                <w:sz w:val="18"/>
              </w:rPr>
              <w:t>☐  Basis of valuation</w:t>
            </w:r>
          </w:p>
        </w:tc>
        <w:tc>
          <w:tcPr>
            <w:tcW w:type="dxa" w:w="4896"/>
            <w:tcMar>
              <w:top w:w="20" w:type="dxa"/>
              <w:bottom w:w="20" w:type="dxa"/>
              <w:start w:w="40" w:type="dxa"/>
              <w:end w:w="80" w:type="dxa"/>
            </w:tcMar>
          </w:tcPr>
          <w:p>
            <w:pPr>
              <w:spacing w:after="0"/>
            </w:pPr>
            <w:r>
              <w:rPr>
                <w:rFonts w:ascii="Calibri" w:hAnsi="Calibri"/>
                <w:b w:val="0"/>
                <w:i w:val="0"/>
                <w:color w:val="1B2A32"/>
                <w:sz w:val="18"/>
              </w:rPr>
              <w:t>☐  Depreciation / betterment</w:t>
            </w:r>
          </w:p>
        </w:tc>
      </w:tr>
      <w:tr>
        <w:tc>
          <w:tcPr>
            <w:tcW w:type="dxa" w:w="4896"/>
            <w:tcMar>
              <w:top w:w="20" w:type="dxa"/>
              <w:bottom w:w="20" w:type="dxa"/>
              <w:start w:w="40" w:type="dxa"/>
              <w:end w:w="80" w:type="dxa"/>
            </w:tcMar>
          </w:tcPr>
          <w:p>
            <w:pPr>
              <w:spacing w:after="0"/>
            </w:pPr>
            <w:r>
              <w:rPr>
                <w:rFonts w:ascii="Calibri" w:hAnsi="Calibri"/>
                <w:b w:val="0"/>
                <w:i w:val="0"/>
                <w:color w:val="1B2A32"/>
                <w:sz w:val="18"/>
              </w:rPr>
              <w:t>☐  Business interruption computation</w:t>
            </w:r>
          </w:p>
        </w:tc>
        <w:tc>
          <w:tcPr>
            <w:tcW w:type="dxa" w:w="4896"/>
            <w:tcMar>
              <w:top w:w="20" w:type="dxa"/>
              <w:bottom w:w="20" w:type="dxa"/>
              <w:start w:w="40" w:type="dxa"/>
              <w:end w:w="80" w:type="dxa"/>
            </w:tcMar>
          </w:tcPr>
          <w:p>
            <w:pPr>
              <w:spacing w:after="0"/>
            </w:pPr>
            <w:r>
              <w:rPr>
                <w:rFonts w:ascii="Calibri" w:hAnsi="Calibri"/>
                <w:b w:val="0"/>
                <w:i w:val="0"/>
                <w:color w:val="1B2A32"/>
                <w:sz w:val="18"/>
              </w:rPr>
              <w:t>☐  Debris removal / professional fees</w:t>
            </w:r>
          </w:p>
        </w:tc>
      </w:tr>
      <w:tr>
        <w:tc>
          <w:tcPr>
            <w:tcW w:type="dxa" w:w="4896"/>
            <w:tcMar>
              <w:top w:w="20" w:type="dxa"/>
              <w:bottom w:w="20" w:type="dxa"/>
              <w:start w:w="40" w:type="dxa"/>
              <w:end w:w="80" w:type="dxa"/>
            </w:tcMar>
          </w:tcPr>
          <w:p>
            <w:pPr>
              <w:spacing w:after="0"/>
            </w:pPr>
            <w:r>
              <w:rPr>
                <w:rFonts w:ascii="Calibri" w:hAnsi="Calibri"/>
                <w:b w:val="0"/>
                <w:i w:val="0"/>
                <w:color w:val="1B2A32"/>
                <w:sz w:val="18"/>
              </w:rPr>
              <w:t>☐  Delay in survey or in settlement</w:t>
            </w:r>
          </w:p>
        </w:tc>
        <w:tc>
          <w:tcPr>
            <w:tcW w:type="dxa" w:w="4896"/>
            <w:tcMar>
              <w:top w:w="20" w:type="dxa"/>
              <w:bottom w:w="20" w:type="dxa"/>
              <w:start w:w="40" w:type="dxa"/>
              <w:end w:w="80" w:type="dxa"/>
            </w:tcMar>
          </w:tcPr>
          <w:p>
            <w:pPr>
              <w:spacing w:after="0"/>
            </w:pPr>
            <w:r>
              <w:rPr>
                <w:rFonts w:ascii="Calibri" w:hAnsi="Calibri"/>
                <w:b w:val="0"/>
                <w:i w:val="0"/>
                <w:color w:val="1B2A32"/>
                <w:sz w:val="18"/>
              </w:rPr>
              <w:t>☐  Co-insurer non-alignment</w:t>
            </w:r>
          </w:p>
        </w:tc>
      </w:tr>
      <w:tr>
        <w:tc>
          <w:tcPr>
            <w:tcW w:type="dxa" w:w="4896"/>
            <w:tcMar>
              <w:top w:w="20" w:type="dxa"/>
              <w:bottom w:w="20" w:type="dxa"/>
              <w:start w:w="40" w:type="dxa"/>
              <w:end w:w="80" w:type="dxa"/>
            </w:tcMar>
          </w:tcPr>
          <w:p>
            <w:pPr>
              <w:spacing w:after="0"/>
            </w:pPr>
            <w:r>
              <w:rPr>
                <w:rFonts w:ascii="Calibri" w:hAnsi="Calibri"/>
                <w:b w:val="0"/>
                <w:i w:val="0"/>
                <w:color w:val="1B2A32"/>
                <w:sz w:val="18"/>
              </w:rPr>
              <w:t>☐  Reinsurer-driven decision</w:t>
            </w:r>
          </w:p>
        </w:tc>
        <w:tc>
          <w:tcPr>
            <w:tcW w:type="dxa" w:w="4896"/>
            <w:tcMar>
              <w:top w:w="20" w:type="dxa"/>
              <w:bottom w:w="20" w:type="dxa"/>
              <w:start w:w="40" w:type="dxa"/>
              <w:end w:w="80" w:type="dxa"/>
            </w:tcMar>
          </w:tcPr>
          <w:p>
            <w:pPr>
              <w:spacing w:after="0"/>
            </w:pPr>
            <w:r>
              <w:rPr>
                <w:rFonts w:ascii="Calibri" w:hAnsi="Calibri"/>
                <w:b w:val="0"/>
                <w:i w:val="0"/>
                <w:color w:val="1B2A32"/>
                <w:sz w:val="18"/>
              </w:rPr>
              <w:t>☐  Sub-limit / inner limit</w:t>
            </w:r>
          </w:p>
        </w:tc>
      </w:tr>
      <w:tr>
        <w:tc>
          <w:tcPr>
            <w:tcW w:type="dxa" w:w="4896"/>
            <w:tcMar>
              <w:top w:w="20" w:type="dxa"/>
              <w:bottom w:w="20" w:type="dxa"/>
              <w:start w:w="40" w:type="dxa"/>
              <w:end w:w="80" w:type="dxa"/>
            </w:tcMar>
          </w:tcPr>
          <w:p>
            <w:pPr>
              <w:spacing w:after="0"/>
            </w:pPr>
            <w:r>
              <w:rPr>
                <w:rFonts w:ascii="Calibri" w:hAnsi="Calibri"/>
                <w:b w:val="0"/>
                <w:i w:val="0"/>
                <w:color w:val="1B2A32"/>
                <w:sz w:val="18"/>
              </w:rPr>
              <w:t>☐  Excess / deductible</w:t>
            </w:r>
          </w:p>
        </w:tc>
        <w:tc>
          <w:tcPr>
            <w:tcW w:type="dxa" w:w="4896"/>
            <w:tcMar>
              <w:top w:w="20" w:type="dxa"/>
              <w:bottom w:w="20" w:type="dxa"/>
              <w:start w:w="40" w:type="dxa"/>
              <w:end w:w="80" w:type="dxa"/>
            </w:tcMar>
          </w:tcPr>
          <w:p>
            <w:pPr>
              <w:spacing w:after="0"/>
            </w:pPr>
            <w:r>
              <w:rPr>
                <w:rFonts w:ascii="Calibri" w:hAnsi="Calibri"/>
                <w:b w:val="0"/>
                <w:i w:val="0"/>
                <w:color w:val="1B2A32"/>
                <w:sz w:val="18"/>
              </w:rPr>
              <w:t>☐  Salvage</w:t>
            </w:r>
          </w:p>
        </w:tc>
      </w:tr>
      <w:tr>
        <w:tc>
          <w:tcPr>
            <w:tcW w:type="dxa" w:w="4896"/>
            <w:tcMar>
              <w:top w:w="20" w:type="dxa"/>
              <w:bottom w:w="20" w:type="dxa"/>
              <w:start w:w="40" w:type="dxa"/>
              <w:end w:w="80" w:type="dxa"/>
            </w:tcMar>
          </w:tcPr>
          <w:p>
            <w:pPr>
              <w:spacing w:after="0"/>
            </w:pPr>
            <w:r>
              <w:rPr>
                <w:rFonts w:ascii="Calibri" w:hAnsi="Calibri"/>
                <w:b w:val="0"/>
                <w:i w:val="0"/>
                <w:color w:val="1B2A32"/>
                <w:sz w:val="18"/>
              </w:rPr>
              <w:t>☐  Subrogation / recovery</w:t>
            </w:r>
          </w:p>
        </w:tc>
        <w:tc>
          <w:tcPr>
            <w:tcW w:type="dxa" w:w="4896"/>
            <w:tcMar>
              <w:top w:w="20" w:type="dxa"/>
              <w:bottom w:w="20" w:type="dxa"/>
              <w:start w:w="40" w:type="dxa"/>
              <w:end w:w="80" w:type="dxa"/>
            </w:tcMar>
          </w:tcPr>
          <w:p>
            <w:pPr>
              <w:spacing w:after="0"/>
            </w:pPr>
          </w:p>
        </w:tc>
      </w:tr>
    </w:tbl>
    <w:p>
      <w:pPr>
        <w:spacing w:after="40"/>
      </w:pPr>
    </w:p>
    <w:tbl>
      <w:tblPr>
        <w:tblW w:type="auto" w:w="0"/>
        <w:tblLayout w:type="fixed"/>
        <w:tblLook w:firstColumn="1" w:firstRow="1" w:lastColumn="0" w:lastRow="0" w:noHBand="0" w:noVBand="1" w:val="04A0"/>
      </w:tblPr>
      <w:tblGrid>
        <w:gridCol w:w="9792"/>
      </w:tblGrid>
      <w:tr>
        <w:tc>
          <w:tcPr>
            <w:tcW w:type="dxa" w:w="9792"/>
            <w:shd w:val="clear" w:color="auto" w:fill="123B4F"/>
            <w:tcMar>
              <w:top w:w="40" w:type="dxa"/>
              <w:bottom w:w="40" w:type="dxa"/>
              <w:start w:w="120" w:type="dxa"/>
              <w:end w:w="120" w:type="dxa"/>
            </w:tcMar>
          </w:tcPr>
          <w:p>
            <w:pPr>
              <w:spacing w:after="0"/>
            </w:pPr>
            <w:r>
              <w:rPr>
                <w:rFonts w:ascii="Calibri" w:hAnsi="Calibri"/>
                <w:b/>
                <w:i w:val="0"/>
                <w:color w:val="FFFFFF"/>
                <w:sz w:val="21"/>
              </w:rPr>
              <w:t>E.  ARBITRATION STATUS</w:t>
            </w:r>
          </w:p>
        </w:tc>
      </w:tr>
    </w:tbl>
    <w:p>
      <w:pPr>
        <w:spacing w:after="20"/>
      </w:pPr>
    </w:p>
    <w:p>
      <w:pPr>
        <w:spacing w:after="20"/>
      </w:pPr>
      <w:r>
        <w:rPr>
          <w:rFonts w:ascii="Calibri" w:hAnsi="Calibri"/>
          <w:b/>
          <w:i w:val="0"/>
          <w:color w:val="123B4F"/>
          <w:sz w:val="18"/>
        </w:rPr>
        <w:t>Confirm:</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792"/>
      </w:tblGrid>
      <w:tr>
        <w:tc>
          <w:tcPr>
            <w:tcW w:type="dxa" w:w="9792"/>
            <w:tcMar>
              <w:top w:w="20" w:type="dxa"/>
              <w:bottom w:w="20" w:type="dxa"/>
              <w:start w:w="40" w:type="dxa"/>
              <w:end w:w="80" w:type="dxa"/>
            </w:tcMar>
          </w:tcPr>
          <w:p>
            <w:pPr>
              <w:spacing w:after="0"/>
            </w:pPr>
            <w:r>
              <w:rPr>
                <w:rFonts w:ascii="Calibri" w:hAnsi="Calibri"/>
                <w:b w:val="0"/>
                <w:i w:val="0"/>
                <w:color w:val="1B2A32"/>
                <w:sz w:val="18"/>
              </w:rPr>
              <w:t>☐  The policy contains **no arbitration clause**, and no separate arbitration agreement has been made</w:t>
            </w:r>
          </w:p>
        </w:tc>
      </w:tr>
      <w:tr>
        <w:tc>
          <w:tcPr>
            <w:tcW w:type="dxa" w:w="9792"/>
            <w:tcMar>
              <w:top w:w="20" w:type="dxa"/>
              <w:bottom w:w="20" w:type="dxa"/>
              <w:start w:w="40" w:type="dxa"/>
              <w:end w:w="80" w:type="dxa"/>
            </w:tcMar>
          </w:tcPr>
          <w:p>
            <w:pPr>
              <w:spacing w:after="0"/>
            </w:pPr>
            <w:r>
              <w:rPr>
                <w:rFonts w:ascii="Calibri" w:hAnsi="Calibri"/>
                <w:b w:val="0"/>
                <w:i w:val="0"/>
                <w:color w:val="1B2A32"/>
                <w:sz w:val="18"/>
              </w:rPr>
              <w:t>☐  A **separate arbitration agreement** covering any and all disputes has been entered into (copy enclosed)</w:t>
            </w:r>
          </w:p>
        </w:tc>
      </w:tr>
      <w:tr>
        <w:tc>
          <w:tcPr>
            <w:tcW w:type="dxa" w:w="9792"/>
            <w:tcMar>
              <w:top w:w="20" w:type="dxa"/>
              <w:bottom w:w="20" w:type="dxa"/>
              <w:start w:w="40" w:type="dxa"/>
              <w:end w:w="80" w:type="dxa"/>
            </w:tcMar>
          </w:tcPr>
          <w:p>
            <w:pPr>
              <w:spacing w:after="0"/>
            </w:pPr>
            <w:r>
              <w:rPr>
                <w:rFonts w:ascii="Calibri" w:hAnsi="Calibri"/>
                <w:b w:val="0"/>
                <w:i w:val="0"/>
                <w:color w:val="1B2A32"/>
                <w:sz w:val="18"/>
              </w:rPr>
              <w:t>☐  The parties are willing to enter into such an agreement now</w:t>
            </w:r>
          </w:p>
        </w:tc>
      </w:tr>
      <w:tr>
        <w:tc>
          <w:tcPr>
            <w:tcW w:type="dxa" w:w="9792"/>
            <w:tcMar>
              <w:top w:w="20" w:type="dxa"/>
              <w:bottom w:w="20" w:type="dxa"/>
              <w:start w:w="40" w:type="dxa"/>
              <w:end w:w="80" w:type="dxa"/>
            </w:tcMar>
          </w:tcPr>
          <w:p>
            <w:pPr>
              <w:spacing w:after="0"/>
            </w:pPr>
            <w:r>
              <w:rPr>
                <w:rFonts w:ascii="Calibri" w:hAnsi="Calibri"/>
                <w:b w:val="0"/>
                <w:i w:val="0"/>
                <w:color w:val="1B2A32"/>
                <w:sz w:val="18"/>
              </w:rPr>
              <w:t>☐  The parties will mediate first, and arbitrate only if mediation does not resolve the dispute</w:t>
            </w: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792"/>
      </w:tblGrid>
      <w:tr>
        <w:tc>
          <w:tcPr>
            <w:tcW w:type="dxa" w:w="9792"/>
            <w:shd w:val="clear" w:color="auto" w:fill="F5ECD6"/>
            <w:tcMar>
              <w:top w:w="70" w:type="dxa"/>
              <w:bottom w:w="70" w:type="dxa"/>
              <w:start w:w="120" w:type="dxa"/>
              <w:end w:w="120" w:type="dxa"/>
            </w:tcMar>
          </w:tcPr>
          <w:p>
            <w:pPr>
              <w:spacing w:after="0"/>
            </w:pPr>
            <w:r>
              <w:rPr>
                <w:rFonts w:ascii="Calibri" w:hAnsi="Calibri"/>
                <w:b w:val="0"/>
                <w:i w:val="0"/>
                <w:color w:val="1B2A32"/>
                <w:sz w:val="17"/>
              </w:rPr>
              <w:t xml:space="preserve">Under the IRDAI circular dated 27 October 2023, an arbitration clause is </w:t>
            </w:r>
            <w:r>
              <w:rPr>
                <w:rFonts w:ascii="Calibri" w:hAnsi="Calibri"/>
                <w:b/>
                <w:i w:val="0"/>
                <w:color w:val="1B2A32"/>
                <w:sz w:val="17"/>
              </w:rPr>
              <w:t>not to be included in retail policies</w:t>
            </w:r>
            <w:r>
              <w:rPr>
                <w:rFonts w:ascii="Calibri" w:hAnsi="Calibri"/>
                <w:b w:val="0"/>
                <w:i w:val="0"/>
                <w:color w:val="1B2A32"/>
                <w:sz w:val="17"/>
              </w:rPr>
              <w:t xml:space="preserve">; for </w:t>
            </w:r>
            <w:r>
              <w:rPr>
                <w:rFonts w:ascii="Calibri" w:hAnsi="Calibri"/>
                <w:b/>
                <w:i w:val="0"/>
                <w:color w:val="1B2A32"/>
                <w:sz w:val="17"/>
              </w:rPr>
              <w:t>commercial policies</w:t>
            </w:r>
            <w:r>
              <w:rPr>
                <w:rFonts w:ascii="Calibri" w:hAnsi="Calibri"/>
                <w:b w:val="0"/>
                <w:i w:val="0"/>
                <w:color w:val="1B2A32"/>
                <w:sz w:val="17"/>
              </w:rPr>
              <w:t xml:space="preserve"> the parties may, by mutual agreement, enter into a separate arbitration agreement covering any and all disputes. Where such an agreement exists, it has been held binding. Mediation remains available in every case and is usually faster and cheaper than arbitration.</w:t>
            </w:r>
          </w:p>
        </w:tc>
      </w:tr>
    </w:tbl>
    <w:p>
      <w:pPr>
        <w:spacing w:after="40"/>
      </w:pP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c>
          <w:tcPr>
            <w:tcW w:type="dxa" w:w="3264"/>
            <w:tcMar>
              <w:top w:w="120" w:type="dxa"/>
              <w:bottom w:w="10" w:type="dxa"/>
              <w:start w:w="40" w:type="dxa"/>
              <w:end w:w="120" w:type="dxa"/>
            </w:tcMar>
          </w:tcPr>
          <w:p>
            <w:r>
              <w:rPr>
                <w:rFonts w:ascii="Calibri" w:hAnsi="Calibri"/>
                <w:b w:val="0"/>
                <w:i w:val="0"/>
                <w:color w:val="1B2A32"/>
                <w:sz w:val="19"/>
              </w:rPr>
              <w:t>________________________</w:t>
            </w:r>
          </w:p>
          <w:p>
            <w:pPr>
              <w:spacing w:after="0"/>
            </w:pPr>
            <w:r>
              <w:rPr>
                <w:rFonts w:ascii="Calibri" w:hAnsi="Calibri"/>
                <w:b/>
                <w:i w:val="0"/>
                <w:color w:val="123B4F"/>
                <w:sz w:val="17"/>
              </w:rPr>
              <w:t>For the insured</w:t>
            </w:r>
          </w:p>
          <w:p>
            <w:pPr>
              <w:spacing w:after="0"/>
            </w:pPr>
            <w:r>
              <w:rPr>
                <w:rFonts w:ascii="Calibri" w:hAnsi="Calibri"/>
                <w:b w:val="0"/>
                <w:i/>
                <w:color w:val="556168"/>
                <w:sz w:val="15"/>
              </w:rPr>
              <w:t>Name / Signature / Date</w:t>
            </w:r>
          </w:p>
        </w:tc>
        <w:tc>
          <w:tcPr>
            <w:tcW w:type="dxa" w:w="3264"/>
            <w:tcMar>
              <w:top w:w="120" w:type="dxa"/>
              <w:bottom w:w="10" w:type="dxa"/>
              <w:start w:w="40" w:type="dxa"/>
              <w:end w:w="120" w:type="dxa"/>
            </w:tcMar>
          </w:tcPr>
          <w:p>
            <w:r>
              <w:rPr>
                <w:rFonts w:ascii="Calibri" w:hAnsi="Calibri"/>
                <w:b w:val="0"/>
                <w:i w:val="0"/>
                <w:color w:val="1B2A32"/>
                <w:sz w:val="19"/>
              </w:rPr>
              <w:t>________________________</w:t>
            </w:r>
          </w:p>
          <w:p>
            <w:pPr>
              <w:spacing w:after="0"/>
            </w:pPr>
            <w:r>
              <w:rPr>
                <w:rFonts w:ascii="Calibri" w:hAnsi="Calibri"/>
                <w:b/>
                <w:i w:val="0"/>
                <w:color w:val="123B4F"/>
                <w:sz w:val="17"/>
              </w:rPr>
              <w:t>For the insurer</w:t>
            </w:r>
          </w:p>
          <w:p>
            <w:pPr>
              <w:spacing w:after="0"/>
            </w:pPr>
            <w:r>
              <w:rPr>
                <w:rFonts w:ascii="Calibri" w:hAnsi="Calibri"/>
                <w:b w:val="0"/>
                <w:i/>
                <w:color w:val="556168"/>
                <w:sz w:val="15"/>
              </w:rPr>
              <w:t>Name / Signature / Date</w:t>
            </w:r>
          </w:p>
        </w:tc>
        <w:tc>
          <w:tcPr>
            <w:tcW w:type="dxa" w:w="3264"/>
            <w:tcMar>
              <w:top w:w="120" w:type="dxa"/>
              <w:bottom w:w="10" w:type="dxa"/>
              <w:start w:w="40" w:type="dxa"/>
              <w:end w:w="120" w:type="dxa"/>
            </w:tcMar>
          </w:tcPr>
          <w:p>
            <w:r>
              <w:rPr>
                <w:rFonts w:ascii="Calibri" w:hAnsi="Calibri"/>
                <w:b w:val="0"/>
                <w:i w:val="0"/>
                <w:color w:val="1B2A32"/>
                <w:sz w:val="19"/>
              </w:rPr>
              <w:t>________________________</w:t>
            </w:r>
          </w:p>
          <w:p>
            <w:pPr>
              <w:spacing w:after="0"/>
            </w:pPr>
            <w:r>
              <w:rPr>
                <w:rFonts w:ascii="Calibri" w:hAnsi="Calibri"/>
                <w:b/>
                <w:i w:val="0"/>
                <w:color w:val="123B4F"/>
                <w:sz w:val="17"/>
              </w:rPr>
              <w:t>Verified by (Equator)</w:t>
            </w:r>
          </w:p>
          <w:p>
            <w:pPr>
              <w:spacing w:after="0"/>
            </w:pPr>
            <w:r>
              <w:rPr>
                <w:rFonts w:ascii="Calibri" w:hAnsi="Calibri"/>
                <w:b w:val="0"/>
                <w:i/>
                <w:color w:val="556168"/>
                <w:sz w:val="15"/>
              </w:rPr>
              <w:t>Name / Signature / Date</w:t>
            </w:r>
          </w:p>
        </w:tc>
      </w:tr>
    </w:tbl>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56168"/>
        <w:sz w:val="15"/>
      </w:rPr>
      <w:t>Equator Resolution  ·  Form F-I12  ·  Confidential  ·  This form takes legal effect subject to the Insurance Ombudsman Rules, 2017, the Consumer Protection Act, 2019 and the Mediation Act, 2023.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color w:val="1B2A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B0965A0-84BA-4851-B6B1-B98AC7BEC22B}"/>
</file>

<file path=customXml/itemProps3.xml><?xml version="1.0" encoding="utf-8"?>
<ds:datastoreItem xmlns:ds="http://schemas.openxmlformats.org/officeDocument/2006/customXml" ds:itemID="{669D014C-2CF5-46B5-88E6-6BCAF91692A5}"/>
</file>

<file path=customXml/itemProps4.xml><?xml version="1.0" encoding="utf-8"?>
<ds:datastoreItem xmlns:ds="http://schemas.openxmlformats.org/officeDocument/2006/customXml" ds:itemID="{E1DAA59E-50F0-42C2-BD2A-955B4B42787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