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F-I13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Route &amp; Suitability Triage Record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Completed by the case manager. Determines the correct route and records the rights that must be preserved.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Assessed by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STEP 1 — RETAIL OR COMMERCIAL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Classification: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Retail / individual policy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Commercial / business policy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Group policy — member's own claim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Group policy — master policyholder's dispute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If retail:</w:t>
      </w:r>
      <w:r>
        <w:rPr>
          <w:rFonts w:ascii="Calibri" w:hAnsi="Calibri"/>
          <w:b/>
          <w:i w:val="0"/>
          <w:color w:val="1B2A32"/>
          <w:sz w:val="19"/>
        </w:rPr>
        <w:t xml:space="preserve"> no arbitration clause may be relied on. Route is insurer grievance → Insurance Ombudsman → consumer commission / civil court, with Equator mediation available in parallel at any stage. </w:t>
      </w:r>
      <w:r>
        <w:rPr>
          <w:rFonts w:ascii="Calibri" w:hAnsi="Calibri"/>
          <w:b/>
          <w:i w:val="0"/>
          <w:color w:val="1B2A32"/>
          <w:sz w:val="19"/>
        </w:rPr>
        <w:t>If commercial:</w:t>
      </w:r>
      <w:r>
        <w:rPr>
          <w:rFonts w:ascii="Calibri" w:hAnsi="Calibri"/>
          <w:b/>
          <w:i w:val="0"/>
          <w:color w:val="1B2A32"/>
          <w:sz w:val="19"/>
        </w:rPr>
        <w:t xml:space="preserve"> arbitration is available only if a separate agreement has been made; otherwise mediation, then court.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STEP 2 — OMBUDSMAN ELIGIBILITY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Check each: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Written representation made to the insurer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Insurer rejected it, gave no reply within 30 days, or the reply is unsatisfactory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Within one year of the insurer's reply / expiry of the 30-day period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 value (with expenses) does not exceed ₹50 lakh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pending before, and not decided by, a court, consumer commission or arbitrator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All five satisfied?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If no, which fails and what is the fallback route?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Ombudsman centre with jurisdiction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Last date to file with the Ombudsman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STEP 3 — LIMITATION AND OTHER CLOCKS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54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Clock</w:t>
            </w:r>
          </w:p>
        </w:tc>
        <w:tc>
          <w:tcPr>
            <w:tcW w:type="dxa" w:w="176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Trigger date</w:t>
            </w:r>
          </w:p>
        </w:tc>
        <w:tc>
          <w:tcPr>
            <w:tcW w:type="dxa" w:w="156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Period</w:t>
            </w:r>
          </w:p>
        </w:tc>
        <w:tc>
          <w:tcPr>
            <w:tcW w:type="dxa" w:w="176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Expiry date</w:t>
            </w:r>
          </w:p>
        </w:tc>
        <w:tc>
          <w:tcPr>
            <w:tcW w:type="dxa" w:w="21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 owner</w:t>
            </w:r>
          </w:p>
        </w:tc>
      </w:tr>
      <w:tr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Record at least: the 30-day insurer reply window; the one-year Ombudsman window; the two-year consumer limitation; any policy-condition time bar for suit; and, for commercial arbitration, the section 29A clock once a tribunal is constituted. Equator must tell the party these dates in writing at intake and again at closure.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Mediation does not automatically stop these clocks.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STEP 4 — SUITABILITY FOR MEDIATION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Assessment: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Suitable for mediation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Suitable with safeguards (specify below)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Shuttle / caucus only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suitable — refer to Ombudsman / consumer forum / court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suitable — allegation of fraud requiring investigation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suitable — matter is or should be criminal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Safeguards required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Vulnerability noted (age, illness, bereavement, language)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Interpretation / language support required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Fee waiver or concession applied?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STEP 5 — REGULATORY SIGNPOSTING GIVEN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The party has been told, in writing, about: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insurer's grievance redressal cell and the 30-day window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**Bima Bharosa** (IRDAI's grievance system) and how to register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**Insurance Ombudsman** — free, no lawyer needed, award binding on the insurer up to ₹30 lakh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**consumer commission** and that this right cannot be taken away by any arbitration clause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That Equator is a private institution and is **not** the Ombudsman, IRDAI, a commission or a court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Reviewed by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F-I13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CF7D67-7084-49D9-9EC3-381B161D74B6}"/>
</file>

<file path=customXml/itemProps3.xml><?xml version="1.0" encoding="utf-8"?>
<ds:datastoreItem xmlns:ds="http://schemas.openxmlformats.org/officeDocument/2006/customXml" ds:itemID="{0707D2CD-8924-420D-8B8B-341600355383}"/>
</file>

<file path=customXml/itemProps4.xml><?xml version="1.0" encoding="utf-8"?>
<ds:datastoreItem xmlns:ds="http://schemas.openxmlformats.org/officeDocument/2006/customXml" ds:itemID="{7592F2F6-4D7D-4358-A559-C57E610241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