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F-I15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Neutral's Disclosure, Conflict &amp; Independence Statement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Completed by every mediator, conciliator or arbitrator before appointment in an insurance matter.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Panel &amp; accreditation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RELATIONSHIP DISCLOSURES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In the last five years I have: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Been employed by, or an officer of, either insurer or its group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Acted as a surveyor, loss assessor, investigator or TPA for either party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Acted as an agent, broker or other intermediary for either party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Advised or represented either party or a related entity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Held a directorship, shareholding or financial interest in either party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Sat as a neutral in a matter involving the same insurer (give numbers and dates)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family or close personal relationship with a party or representative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None of the above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5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Disclosure</w:t>
            </w:r>
          </w:p>
        </w:tc>
        <w:tc>
          <w:tcPr>
            <w:tcW w:type="dxa" w:w="235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Nature</w:t>
            </w:r>
          </w:p>
        </w:tc>
        <w:tc>
          <w:tcPr>
            <w:tcW w:type="dxa" w:w="15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Period</w:t>
            </w:r>
          </w:p>
        </w:tc>
        <w:tc>
          <w:tcPr>
            <w:tcW w:type="dxa" w:w="352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Why it does not impair independence</w:t>
            </w:r>
          </w:p>
        </w:tc>
      </w:tr>
      <w:tr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52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REPEAT-APPOINTMENT DISCLOSURE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Number of Equator appointments in the last 24 months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Of these, number involving this 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Percentage of my annual neutral income from this 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Repeat appointment by one institutional user is the most common independence risk in an insurance panel. Equator publishes appointment counts by insurer in aggregate and applies a cooling-off and rotation rule. Disclosure is continuing: anything arising after appointment must be disclosed immediately.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DECLARATION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independent of the parties and will act impartially.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have disclosed everything that could reasonably give rise to justifiable doubts as to my independence or impartiality, and I will disclose anything that arises later.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keep everything confidential and will not act for either party in a related matter afterwards.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not give legal advice to either party, and I will not express an opinion on how a court, commission or the Ombudsman would decide the claim.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hold current professional indemnity cover.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Accepted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F-I15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E31C67-2E77-4496-87B9-D23CC74DECAD}"/>
</file>

<file path=customXml/itemProps3.xml><?xml version="1.0" encoding="utf-8"?>
<ds:datastoreItem xmlns:ds="http://schemas.openxmlformats.org/officeDocument/2006/customXml" ds:itemID="{0F82C36A-F234-4748-8D28-9A79409D6F85}"/>
</file>

<file path=customXml/itemProps4.xml><?xml version="1.0" encoding="utf-8"?>
<ds:datastoreItem xmlns:ds="http://schemas.openxmlformats.org/officeDocument/2006/customXml" ds:itemID="{DF7EE2D6-BDE7-40E0-9D1C-4919853855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