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F-I19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Non-Commencement / Withdrawal &amp; Signposting Report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Issued when the other party does not participate, or when the process ends without settlement. Preserves every other remedy.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Issued to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WHAT HAPPENED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Reason: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other party did not respond to notice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other party declined to participate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applicant withdrew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The parties attended but did not settle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Settled in part only (partial settlement annexed)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Assessed as not suitable for mediation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Terminated by the neutral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notice issued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Date(s) of session(s) held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Number of sessions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in dispute at the close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WHAT IS RECORDED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 xml:space="preserve">This report records </w:t>
      </w:r>
      <w:r>
        <w:rPr>
          <w:rFonts w:ascii="Calibri" w:hAnsi="Calibri"/>
          <w:b/>
          <w:i w:val="0"/>
          <w:color w:val="1B2A32"/>
          <w:sz w:val="19"/>
        </w:rPr>
        <w:t>only</w:t>
      </w:r>
      <w:r>
        <w:rPr>
          <w:rFonts w:ascii="Calibri" w:hAnsi="Calibri"/>
          <w:b w:val="0"/>
          <w:i w:val="0"/>
          <w:color w:val="1B2A32"/>
          <w:sz w:val="19"/>
        </w:rPr>
        <w:t xml:space="preserve"> the fact and dates of the process and whether it concluded in a settlement. Nothing said, offered or produced in the mediation is recorded here or may be disclosed, and no view is expressed on the merits of the claim.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YOUR REMAINING OPTIONS — SIGNPOSTING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Forum</w:t>
            </w:r>
          </w:p>
        </w:tc>
        <w:tc>
          <w:tcPr>
            <w:tcW w:type="dxa" w:w="274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it can do</w:t>
            </w:r>
          </w:p>
        </w:tc>
        <w:tc>
          <w:tcPr>
            <w:tcW w:type="dxa" w:w="117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Cost</w:t>
            </w:r>
          </w:p>
        </w:tc>
        <w:tc>
          <w:tcPr>
            <w:tcW w:type="dxa" w:w="215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Time limit that applies to you</w:t>
            </w:r>
          </w:p>
        </w:tc>
        <w:tc>
          <w:tcPr>
            <w:tcW w:type="dxa" w:w="15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Last date to act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74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15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Complete this table for every party. It should ordinarily list: the insurer's grievance cell (30 days for a reply);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Bima Bharosa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for registering the grievance with IRDAI; the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Insurance Ombudsman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(free; within one year; claim up to ₹50 lakh; award binding on the insurer up to ₹30 lakh); the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consumer commission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 (ordinarily within two years); the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civil court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; and, for commercial policies with a separate arbitration agreement,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arbitration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. For third-party motor injury and death claims the forum is the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Motor Accidents Claims Tribunal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ACKNOWLEDGEMENT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have been given this report and the signposting table in a language I understand.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that mediation at Equator has not extended any limitation or filing period, and I have been told the last date to act for each forum listed.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F-I19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6F0D9E-FE88-4909-A6B4-F45029C01CBB}"/>
</file>

<file path=customXml/itemProps3.xml><?xml version="1.0" encoding="utf-8"?>
<ds:datastoreItem xmlns:ds="http://schemas.openxmlformats.org/officeDocument/2006/customXml" ds:itemID="{910AEE39-ECDE-4E37-8F48-E63BB9BD48ED}"/>
</file>

<file path=customXml/itemProps4.xml><?xml version="1.0" encoding="utf-8"?>
<ds:datastoreItem xmlns:ds="http://schemas.openxmlformats.org/officeDocument/2006/customXml" ds:itemID="{F51AA917-5388-4AE3-A4D2-6DE9BF1EAB9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