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F-I20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Insurance Dispute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Case Closure, Compliance &amp; Feedback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Closes the file, confirms the settlement was actually performed, and captures feedback.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Date of closure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Neutral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manager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A.  OUTCOME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Outcome: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in full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Settled in part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Not settled — signposted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Withdrawn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Non-commencement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Referred to Ombudsman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Referred to consumer commission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Referred to arbitration (commercial)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claimed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Amount settled (₹)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Recovery as % of claim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Days from filing to settlement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Number of sessions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B.  COMPLIANCE CHECK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293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Obligation</w:t>
            </w:r>
          </w:p>
        </w:tc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Due date</w:t>
            </w:r>
          </w:p>
        </w:tc>
        <w:tc>
          <w:tcPr>
            <w:tcW w:type="dxa" w:w="1371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Done on</w:t>
            </w:r>
          </w:p>
        </w:tc>
        <w:tc>
          <w:tcPr>
            <w:tcW w:type="dxa" w:w="2350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Evidence on file</w:t>
            </w:r>
          </w:p>
        </w:tc>
        <w:tc>
          <w:tcPr>
            <w:tcW w:type="dxa" w:w="176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293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371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2350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76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Verified: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Full payment received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Settlement registered under the Mediation Act, 2023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Policy reinstated / continuity preserved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Adverse remark withdrawn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Pending complaint disposed / withdrawn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Escrow closed and reconciled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Documents returned to the parties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Records retained per the retention schedule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C.  PARTY FEEDBACK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5484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Question</w:t>
            </w:r>
          </w:p>
        </w:tc>
        <w:tc>
          <w:tcPr>
            <w:tcW w:type="dxa" w:w="1175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1 – 5</w:t>
            </w:r>
          </w:p>
        </w:tc>
        <w:tc>
          <w:tcPr>
            <w:tcW w:type="dxa" w:w="313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Comment</w:t>
            </w:r>
          </w:p>
        </w:tc>
      </w:tr>
      <w:tr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5484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175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313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Ask at least: was the process explained clearly; were you treated fairly and impartially; did you feel pressured to settle; were the timelines and your other remedies explained; was the health or financial information you gave handled with care; would you use Equator again.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D.  DATA RETENTION AND ERASURE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Retention class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Erasure due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Health data erasure confirmed on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Consent withdrawal received? (date)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Case Manager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Quality reviewer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F-I20  ·  Confidential  ·  This form takes legal effect subject to the Insurance Ombudsman Rules, 2017, the Consumer Protection Act, 2019 and the Mediation Act, 2023.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A739026-44D4-4F5D-9B22-5C8100AB79B0}"/>
</file>

<file path=customXml/itemProps3.xml><?xml version="1.0" encoding="utf-8"?>
<ds:datastoreItem xmlns:ds="http://schemas.openxmlformats.org/officeDocument/2006/customXml" ds:itemID="{E3B1013D-1CE3-4FDD-A917-CB108DD12F9F}"/>
</file>

<file path=customXml/itemProps4.xml><?xml version="1.0" encoding="utf-8"?>
<ds:datastoreItem xmlns:ds="http://schemas.openxmlformats.org/officeDocument/2006/customXml" ds:itemID="{7697C474-0503-4B56-9ABE-1036EDD051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